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strike w:val="false"/>
          <w:color w:val="1F4E78"/>
        </w:rPr>
        <w:t xml:space="preserve">Estándares de Servicio — Pixel Burger</w:t>
      </w:r>
    </w:p>
    <w:p>
      <w:pPr>
        <w:spacing w:after="200"/>
      </w:pPr>
      <w:r>
        <w:rPr>
          <w:rFonts w:ascii="Calibri" w:cs="Calibri" w:eastAsia="Calibri" w:hAnsi="Calibri"/>
          <w:i/>
          <w:iCs/>
          <w:strike w:val="false"/>
          <w:color w:val="595959"/>
          <w:sz w:val="20"/>
          <w:szCs w:val="20"/>
        </w:rPr>
        <w:t xml:space="preserve">Versión 1.1 — borrador de trabajo, 2026-09-15, actualizado 2026-09-20 (se definió el canal de recepción de pedidos — sección 1.1). Varias secciones quedan marcadas </w:t>
      </w:r>
      <w:r>
        <w:rPr>
          <w:rFonts w:ascii="Calibri" w:cs="Calibri" w:eastAsia="Calibri" w:hAnsi="Calibri"/>
          <w:b/>
          <w:bCs/>
          <w:i/>
          <w:iCs/>
          <w:strike w:val="false"/>
          <w:color w:val="595959"/>
          <w:sz w:val="20"/>
          <w:szCs w:val="20"/>
        </w:rPr>
        <w:t xml:space="preserve">[a definir]</w:t>
      </w:r>
      <w:r>
        <w:rPr>
          <w:rFonts w:ascii="Calibri" w:cs="Calibri" w:eastAsia="Calibri" w:hAnsi="Calibri"/>
          <w:i/>
          <w:iCs/>
          <w:strike w:val="false"/>
          <w:color w:val="595959"/>
          <w:sz w:val="20"/>
          <w:szCs w:val="20"/>
        </w:rPr>
        <w:t xml:space="preserve"> porque dependen de decisiones de lanzamiento (radio de domicilios) o de la prueba de producción (tiempos), no de datos que ya existan.</w:t>
      </w:r>
    </w:p>
    <w:p>
      <w:pPr>
        <w:pStyle w:val="Heading1"/>
        <w:pBdr>
          <w:bottom w:val="single" w:color="1F4E78" w:sz="6" w:space="4"/>
        </w:pBdr>
        <w:spacing w:after="120" w:before="300"/>
      </w:pPr>
      <w:r>
        <w:rPr>
          <w:rFonts w:ascii="Calibri" w:cs="Calibri" w:eastAsia="Calibri" w:hAnsi="Calibri"/>
          <w:b/>
          <w:bCs/>
          <w:strike w:val="false"/>
          <w:color w:val="1F4E78"/>
        </w:rPr>
        <w:t xml:space="preserve">0. Propósito y alcance</w:t>
      </w:r>
    </w:p>
    <w:p>
      <w:pPr>
        <w:spacing w:after="160"/>
        <w:jc w:val="left"/>
      </w:pPr>
      <w:r>
        <w:rPr>
          <w:rFonts w:ascii="Calibri" w:cs="Calibri" w:eastAsia="Calibri" w:hAnsi="Calibri"/>
          <w:strike w:val="false"/>
        </w:rPr>
        <w:t xml:space="preserve">El negocio se apalanca principalmente en domicilios — existe la parrilla dedicada y se está comprando una moto para esto (Documento Maestro, secciones 1 y 5) — pero </w:t>
      </w:r>
      <w:r>
        <w:rPr>
          <w:rFonts w:ascii="Calibri" w:cs="Calibri" w:eastAsia="Calibri" w:hAnsi="Calibri"/>
          <w:b/>
          <w:bCs/>
          <w:strike w:val="false"/>
        </w:rPr>
        <w:t xml:space="preserve">el local no se cierra a atender clientes que llegan directamente</w:t>
      </w:r>
      <w:r>
        <w:rPr>
          <w:rFonts w:ascii="Calibri" w:cs="Calibri" w:eastAsia="Calibri" w:hAnsi="Calibri"/>
          <w:strike w:val="false"/>
        </w:rPr>
        <w:t xml:space="preserve">. Un cliente que se acerca al mostrador o a comer en el local debe recibir el mismo nivel de atención y estándar que uno que pide por domicilio: no es un canal secundario ni improvisado, solo no es el foco principal de la operación inicial.</w:t>
      </w:r>
    </w:p>
    <w:p>
      <w:pPr>
        <w:spacing w:after="160"/>
        <w:jc w:val="left"/>
      </w:pPr>
      <w:r>
        <w:rPr>
          <w:rFonts w:ascii="Calibri" w:cs="Calibri" w:eastAsia="Calibri" w:hAnsi="Calibri"/>
          <w:strike w:val="false"/>
        </w:rPr>
        <w:t xml:space="preserve">Este documento define el estándar de servicio para ambos canales.</w:t>
      </w:r>
    </w:p>
    <w:p>
      <w:pPr>
        <w:pStyle w:val="Heading1"/>
        <w:pBdr>
          <w:bottom w:val="single" w:color="1F4E78" w:sz="6" w:space="4"/>
        </w:pBdr>
        <w:spacing w:after="120" w:before="300"/>
      </w:pPr>
      <w:r>
        <w:rPr>
          <w:rFonts w:ascii="Calibri" w:cs="Calibri" w:eastAsia="Calibri" w:hAnsi="Calibri"/>
          <w:b/>
          <w:bCs/>
          <w:strike w:val="false"/>
          <w:color w:val="1F4E78"/>
        </w:rPr>
        <w:t xml:space="preserve">1. Canales de atención</w:t>
      </w:r>
    </w:p>
    <w:p>
      <w:pPr>
        <w:pStyle w:val="Heading2"/>
        <w:spacing w:after="100" w:before="200"/>
      </w:pPr>
      <w:r>
        <w:rPr>
          <w:rFonts w:ascii="Calibri" w:cs="Calibri" w:eastAsia="Calibri" w:hAnsi="Calibri"/>
          <w:b/>
          <w:bCs/>
          <w:strike w:val="false"/>
          <w:color w:val="595959"/>
        </w:rPr>
        <w:t xml:space="preserve">1.1 Domicilios (canal principal)</w:t>
      </w:r>
    </w:p>
    <w:p>
      <w:pPr>
        <w:spacing w:after="160"/>
        <w:jc w:val="left"/>
      </w:pPr>
      <w:r>
        <w:rPr>
          <w:rFonts w:ascii="Calibri" w:cs="Calibri" w:eastAsia="Calibri" w:hAnsi="Calibri"/>
          <w:strike w:val="false"/>
        </w:rPr>
        <w:t xml:space="preserve">Todo pedido a domicilio sigue este flujo: toma de pedido → confirmación con el cliente (producto, dirección, tiempo estimado, forma de pago) → preparación → entrega por el domiciliario → cobro/confirmación de pago.</w:t>
      </w:r>
    </w:p>
    <w:p>
      <w:pPr>
        <w:spacing w:after="160"/>
        <w:jc w:val="left"/>
      </w:pPr>
      <w:r>
        <w:rPr>
          <w:rFonts w:ascii="Calibri" w:cs="Calibri" w:eastAsia="Calibri" w:hAnsi="Calibri"/>
          <w:b/>
          <w:bCs/>
          <w:strike w:val="false"/>
        </w:rPr>
        <w:t xml:space="preserve">Definido (2026-09-20)</w:t>
      </w:r>
      <w:r>
        <w:rPr>
          <w:rFonts w:ascii="Calibri" w:cs="Calibri" w:eastAsia="Calibri" w:hAnsi="Calibri"/>
          <w:strike w:val="false"/>
        </w:rPr>
        <w:t xml:space="preserve">: canal de recepción de pedidos — WhatsApp como canal de venta y atención para el lanzamiento, con una web/PWA propia como canal complementario más adelante (deseable antes de abrir, no bloqueante). No se usa una plataforma de domicilios de terceros tipo Rappi — la entrega es propia, con la moto de Pixel Burger. Ver el razonamiento completo, incluida la distinción entre canal de venta / marketing / entrega, en el documento del proyecto claude/estrategia-canales.md.</w:t>
      </w:r>
    </w:p>
    <w:p>
      <w:pPr>
        <w:spacing w:after="160"/>
        <w:jc w:val="left"/>
      </w:pPr>
      <w:r>
        <w:rPr>
          <w:rFonts w:ascii="Calibri" w:cs="Calibri" w:eastAsia="Calibri" w:hAnsi="Calibri"/>
          <w:b/>
          <w:bCs/>
          <w:strike w:val="false"/>
        </w:rPr>
        <w:t xml:space="preserve">[Pendiente de definir]</w:t>
      </w:r>
      <w:r>
        <w:rPr>
          <w:rFonts w:ascii="Calibri" w:cs="Calibri" w:eastAsia="Calibri" w:hAnsi="Calibri"/>
          <w:strike w:val="false"/>
        </w:rPr>
        <w:t xml:space="preserve">: radio de cobertura de domicilios. Prometer una zona más grande de la que la moto puede cubrir en un tiempo razonable genera quejas por demora; conviene fijar un radio conservador al inicio y ampliarlo con datos reales.</w:t>
      </w:r>
    </w:p>
    <w:p>
      <w:pPr>
        <w:pStyle w:val="Heading2"/>
        <w:spacing w:after="100" w:before="200"/>
      </w:pPr>
      <w:r>
        <w:rPr>
          <w:rFonts w:ascii="Calibri" w:cs="Calibri" w:eastAsia="Calibri" w:hAnsi="Calibri"/>
          <w:b/>
          <w:bCs/>
          <w:strike w:val="false"/>
          <w:color w:val="595959"/>
        </w:rPr>
        <w:t xml:space="preserve">1.2 Local / mostrador (canal abierto, no exclusivo de domicilios)</w:t>
      </w:r>
    </w:p>
    <w:p>
      <w:pPr>
        <w:spacing w:after="160"/>
        <w:jc w:val="left"/>
      </w:pPr>
      <w:r>
        <w:rPr>
          <w:rFonts w:ascii="Calibri" w:cs="Calibri" w:eastAsia="Calibri" w:hAnsi="Calibri"/>
          <w:strike w:val="false"/>
        </w:rPr>
        <w:t xml:space="preserve">Un cliente que llega directamente al local se atiende con el mismo cuidado: se toma el pedido, se da un tiempo estimado, se cobra, y se entrega para llevar o para consumir en el sitio si hay dónde hacerlo.</w:t>
      </w:r>
    </w:p>
    <w:p>
      <w:pPr>
        <w:spacing w:after="160"/>
        <w:jc w:val="left"/>
      </w:pPr>
      <w:r>
        <w:rPr>
          <w:rFonts w:ascii="Calibri" w:cs="Calibri" w:eastAsia="Calibri" w:hAnsi="Calibri"/>
          <w:b/>
          <w:bCs/>
          <w:strike w:val="false"/>
        </w:rPr>
        <w:t xml:space="preserve">[Pendiente de confirmar]</w:t>
      </w:r>
      <w:r>
        <w:rPr>
          <w:rFonts w:ascii="Calibri" w:cs="Calibri" w:eastAsia="Calibri" w:hAnsi="Calibri"/>
          <w:strike w:val="false"/>
        </w:rPr>
        <w:t xml:space="preserve">: si el local cuenta con mesas para consumo en sitio o es solo mostrador para llevar. Esto define si aplican estándares de mesa (servir, limpiar, recoger) además de los de empaque para llevar.</w:t>
      </w:r>
    </w:p>
    <w:p>
      <w:pPr>
        <w:pStyle w:val="Heading1"/>
        <w:pBdr>
          <w:bottom w:val="single" w:color="1F4E78" w:sz="6" w:space="4"/>
        </w:pBdr>
        <w:spacing w:after="120" w:before="300"/>
      </w:pPr>
      <w:r>
        <w:rPr>
          <w:rFonts w:ascii="Calibri" w:cs="Calibri" w:eastAsia="Calibri" w:hAnsi="Calibri"/>
          <w:b/>
          <w:bCs/>
          <w:strike w:val="false"/>
          <w:color w:val="1F4E78"/>
        </w:rPr>
        <w:t xml:space="preserve">2. Tiempos objetivo de servicio</w:t>
      </w:r>
    </w:p>
    <w:p>
      <w:pPr>
        <w:pStyle w:val="ListParagraph"/>
        <w:numPr>
          <w:ilvl w:val="0"/>
          <w:numId w:val="1"/>
        </w:numPr>
        <w:spacing w:after="60"/>
      </w:pPr>
      <w:r>
        <w:rPr>
          <w:rFonts w:ascii="Calibri" w:cs="Calibri" w:eastAsia="Calibri" w:hAnsi="Calibri"/>
          <w:b/>
          <w:bCs/>
          <w:strike w:val="false"/>
        </w:rPr>
        <w:t xml:space="preserve">Domicilio</w:t>
      </w:r>
      <w:r>
        <w:rPr>
          <w:rFonts w:ascii="Calibri" w:cs="Calibri" w:eastAsia="Calibri" w:hAnsi="Calibri"/>
          <w:strike w:val="false"/>
        </w:rPr>
        <w:t xml:space="preserve"> = tiempo de preparación + tiempo de trayecto de la moto. El tiempo de trayecto depende de la distancia, por eso el radio de cobertura (sección 1.1) debe fijarse antes de prometer un tiempo de entrega.</w:t>
      </w:r>
    </w:p>
    <w:p>
      <w:pPr>
        <w:pStyle w:val="ListParagraph"/>
        <w:numPr>
          <w:ilvl w:val="0"/>
          <w:numId w:val="1"/>
        </w:numPr>
        <w:spacing w:after="60"/>
      </w:pPr>
      <w:r>
        <w:rPr>
          <w:rFonts w:ascii="Calibri" w:cs="Calibri" w:eastAsia="Calibri" w:hAnsi="Calibri"/>
          <w:b/>
          <w:bCs/>
          <w:strike w:val="false"/>
        </w:rPr>
        <w:t xml:space="preserve">Mostrador/local</w:t>
      </w:r>
      <w:r>
        <w:rPr>
          <w:rFonts w:ascii="Calibri" w:cs="Calibri" w:eastAsia="Calibri" w:hAnsi="Calibri"/>
          <w:strike w:val="false"/>
        </w:rPr>
        <w:t xml:space="preserve"> = solo tiempo de preparación, sin trayecto — debería ser, en principio, el canal más rápido de los dos.</w:t>
      </w:r>
    </w:p>
    <w:p>
      <w:pPr>
        <w:pStyle w:val="ListParagraph"/>
        <w:numPr>
          <w:ilvl w:val="0"/>
          <w:numId w:val="1"/>
        </w:numPr>
        <w:spacing w:after="60"/>
      </w:pPr>
      <w:r>
        <w:rPr>
          <w:rFonts w:ascii="Calibri" w:cs="Calibri" w:eastAsia="Calibri" w:hAnsi="Calibri"/>
          <w:b/>
          <w:bCs/>
          <w:strike w:val="false"/>
        </w:rPr>
        <w:t xml:space="preserve">[Pendiente de definir con datos reales]</w:t>
      </w:r>
      <w:r>
        <w:rPr>
          <w:rFonts w:ascii="Calibri" w:cs="Calibri" w:eastAsia="Calibri" w:hAnsi="Calibri"/>
          <w:strike w:val="false"/>
        </w:rPr>
        <w:t xml:space="preserve">: el tiempo de preparación exacto depende de la prueba de producción (ver Procedimientos de Producción, sección 3, que también quedó marcada [a definir] por la misma razón). No se propone un número aquí porque nadie lo ha medido todavía.</w:t>
      </w:r>
    </w:p>
    <w:p>
      <w:pPr>
        <w:pStyle w:val="Heading1"/>
        <w:pBdr>
          <w:bottom w:val="single" w:color="1F4E78" w:sz="6" w:space="4"/>
        </w:pBdr>
        <w:spacing w:after="120" w:before="300"/>
      </w:pPr>
      <w:r>
        <w:rPr>
          <w:rFonts w:ascii="Calibri" w:cs="Calibri" w:eastAsia="Calibri" w:hAnsi="Calibri"/>
          <w:b/>
          <w:bCs/>
          <w:strike w:val="false"/>
          <w:color w:val="1F4E78"/>
        </w:rPr>
        <w:t xml:space="preserve">3. Toma de pedido — estándar</w:t>
      </w:r>
    </w:p>
    <w:p>
      <w:pPr>
        <w:pStyle w:val="ListParagraph"/>
        <w:numPr>
          <w:ilvl w:val="0"/>
          <w:numId w:val="1"/>
        </w:numPr>
        <w:spacing w:after="60"/>
      </w:pPr>
      <w:r>
        <w:rPr>
          <w:rFonts w:ascii="Calibri" w:cs="Calibri" w:eastAsia="Calibri" w:hAnsi="Calibri"/>
          <w:strike w:val="false"/>
        </w:rPr>
        <w:t xml:space="preserve">Confirmar siempre: producto exacto (Clásica, Cheese o Montañera), cualquier personalización, medio de pago, y en domicilios la dirección completa más un punto de referencia.</w:t>
      </w:r>
    </w:p>
    <w:p>
      <w:pPr>
        <w:pStyle w:val="ListParagraph"/>
        <w:numPr>
          <w:ilvl w:val="0"/>
          <w:numId w:val="1"/>
        </w:numPr>
        <w:spacing w:after="60"/>
      </w:pPr>
      <w:r>
        <w:rPr>
          <w:rFonts w:ascii="Calibri" w:cs="Calibri" w:eastAsia="Calibri" w:hAnsi="Calibri"/>
          <w:strike w:val="false"/>
        </w:rPr>
        <w:t xml:space="preserve">Repetir el pedido al cliente antes de confirmarlo — un pedido mal tomado se traduce en desperdicio (Control de Inventario) y en reprocesos que cuestan tiempo y dinero.</w:t>
      </w:r>
    </w:p>
    <w:p>
      <w:pPr>
        <w:pStyle w:val="ListParagraph"/>
        <w:numPr>
          <w:ilvl w:val="0"/>
          <w:numId w:val="1"/>
        </w:numPr>
        <w:spacing w:after="60"/>
      </w:pPr>
      <w:r>
        <w:rPr>
          <w:rFonts w:ascii="Calibri" w:cs="Calibri" w:eastAsia="Calibri" w:hAnsi="Calibri"/>
          <w:strike w:val="false"/>
        </w:rPr>
        <w:t xml:space="preserve">Dar un tiempo estimado realista, no el más optimista. Es mejor cumplir de sobra que quedar mal con el tiempo prometido.</w:t>
      </w:r>
    </w:p>
    <w:p>
      <w:pPr>
        <w:pStyle w:val="Heading1"/>
        <w:pBdr>
          <w:bottom w:val="single" w:color="1F4E78" w:sz="6" w:space="4"/>
        </w:pBdr>
        <w:spacing w:after="120" w:before="300"/>
      </w:pPr>
      <w:r>
        <w:rPr>
          <w:rFonts w:ascii="Calibri" w:cs="Calibri" w:eastAsia="Calibri" w:hAnsi="Calibri"/>
          <w:b/>
          <w:bCs/>
          <w:strike w:val="false"/>
          <w:color w:val="1F4E78"/>
        </w:rPr>
        <w:t xml:space="preserve">4. Entrega</w:t>
      </w:r>
    </w:p>
    <w:p>
      <w:pPr>
        <w:pStyle w:val="Heading2"/>
        <w:spacing w:after="100" w:before="200"/>
      </w:pPr>
      <w:r>
        <w:rPr>
          <w:rFonts w:ascii="Calibri" w:cs="Calibri" w:eastAsia="Calibri" w:hAnsi="Calibri"/>
          <w:b/>
          <w:bCs/>
          <w:strike w:val="false"/>
          <w:color w:val="595959"/>
        </w:rPr>
        <w:t xml:space="preserve">4.1 Domicilio</w:t>
      </w:r>
    </w:p>
    <w:p>
      <w:pPr>
        <w:pStyle w:val="ListParagraph"/>
        <w:numPr>
          <w:ilvl w:val="0"/>
          <w:numId w:val="1"/>
        </w:numPr>
        <w:spacing w:after="60"/>
      </w:pPr>
      <w:r>
        <w:rPr>
          <w:rFonts w:ascii="Calibri" w:cs="Calibri" w:eastAsia="Calibri" w:hAnsi="Calibri"/>
          <w:strike w:val="false"/>
        </w:rPr>
        <w:t xml:space="preserve">Verificar que el pedido esté completo (producto correcto, cantidad, salsas o adicionales) antes de que el domiciliario salga.</w:t>
      </w:r>
    </w:p>
    <w:p>
      <w:pPr>
        <w:pStyle w:val="ListParagraph"/>
        <w:numPr>
          <w:ilvl w:val="0"/>
          <w:numId w:val="1"/>
        </w:numPr>
        <w:spacing w:after="60"/>
      </w:pPr>
      <w:r>
        <w:rPr>
          <w:rFonts w:ascii="Calibri" w:cs="Calibri" w:eastAsia="Calibri" w:hAnsi="Calibri"/>
          <w:strike w:val="false"/>
        </w:rPr>
        <w:t xml:space="preserve">Confirmar el cobro (efectivo exacto, o que el pago digital ya se registró) antes de la salida.</w:t>
      </w:r>
    </w:p>
    <w:p>
      <w:pPr>
        <w:pStyle w:val="ListParagraph"/>
        <w:numPr>
          <w:ilvl w:val="0"/>
          <w:numId w:val="1"/>
        </w:numPr>
        <w:spacing w:after="60"/>
      </w:pPr>
      <w:r>
        <w:rPr>
          <w:rFonts w:ascii="Calibri" w:cs="Calibri" w:eastAsia="Calibri" w:hAnsi="Calibri"/>
          <w:strike w:val="false"/>
        </w:rPr>
        <w:t xml:space="preserve">El domiciliario confirma con el cliente que recibió el pedido completo al entregarlo.</w:t>
      </w:r>
    </w:p>
    <w:p>
      <w:pPr>
        <w:pStyle w:val="Heading2"/>
        <w:spacing w:after="100" w:before="200"/>
      </w:pPr>
      <w:r>
        <w:rPr>
          <w:rFonts w:ascii="Calibri" w:cs="Calibri" w:eastAsia="Calibri" w:hAnsi="Calibri"/>
          <w:b/>
          <w:bCs/>
          <w:strike w:val="false"/>
          <w:color w:val="595959"/>
        </w:rPr>
        <w:t xml:space="preserve">4.2 Mostrador/local</w:t>
      </w:r>
    </w:p>
    <w:p>
      <w:pPr>
        <w:pStyle w:val="ListParagraph"/>
        <w:numPr>
          <w:ilvl w:val="0"/>
          <w:numId w:val="1"/>
        </w:numPr>
        <w:spacing w:after="60"/>
      </w:pPr>
      <w:r>
        <w:rPr>
          <w:rFonts w:ascii="Calibri" w:cs="Calibri" w:eastAsia="Calibri" w:hAnsi="Calibri"/>
          <w:strike w:val="false"/>
        </w:rPr>
        <w:t xml:space="preserve">Verificar el pedido antes de entregarlo al cliente, igual que en domicilios — no hay un estándar más relajado por ser en persona.</w:t>
      </w:r>
    </w:p>
    <w:p>
      <w:pPr>
        <w:pStyle w:val="ListParagraph"/>
        <w:numPr>
          <w:ilvl w:val="0"/>
          <w:numId w:val="1"/>
        </w:numPr>
        <w:spacing w:after="60"/>
      </w:pPr>
      <w:r>
        <w:rPr>
          <w:rFonts w:ascii="Calibri" w:cs="Calibri" w:eastAsia="Calibri" w:hAnsi="Calibri"/>
          <w:strike w:val="false"/>
        </w:rPr>
        <w:t xml:space="preserve">Empacar de forma que se mantenga la temperatura y la presentación hasta que el cliente lo abra, sea para llevar o para comer en el sitio.</w:t>
      </w:r>
    </w:p>
    <w:p>
      <w:pPr>
        <w:pStyle w:val="Heading1"/>
        <w:pBdr>
          <w:bottom w:val="single" w:color="1F4E78" w:sz="6" w:space="4"/>
        </w:pBdr>
        <w:spacing w:after="120" w:before="300"/>
      </w:pPr>
      <w:r>
        <w:rPr>
          <w:rFonts w:ascii="Calibri" w:cs="Calibri" w:eastAsia="Calibri" w:hAnsi="Calibri"/>
          <w:b/>
          <w:bCs/>
          <w:strike w:val="false"/>
          <w:color w:val="1F4E78"/>
        </w:rPr>
        <w:t xml:space="preserve">5. Manejo de quejas y reclamos</w:t>
      </w:r>
    </w:p>
    <w:p>
      <w:pPr>
        <w:pStyle w:val="ListParagraph"/>
        <w:numPr>
          <w:ilvl w:val="0"/>
          <w:numId w:val="1"/>
        </w:numPr>
        <w:spacing w:after="60"/>
      </w:pPr>
      <w:r>
        <w:rPr>
          <w:rFonts w:ascii="Calibri" w:cs="Calibri" w:eastAsia="Calibri" w:hAnsi="Calibri"/>
          <w:strike w:val="false"/>
        </w:rPr>
        <w:t xml:space="preserve">Recibir la queja sin ponerse a la defensiva: es información sobre qué hay que ajustar, no un ataque (las quejas son una de las métricas de operación de la sección 26 del Documento Maestro).</w:t>
      </w:r>
    </w:p>
    <w:p>
      <w:pPr>
        <w:pStyle w:val="ListParagraph"/>
        <w:numPr>
          <w:ilvl w:val="0"/>
          <w:numId w:val="1"/>
        </w:numPr>
        <w:spacing w:after="60"/>
      </w:pPr>
      <w:r>
        <w:rPr>
          <w:rFonts w:ascii="Calibri" w:cs="Calibri" w:eastAsia="Calibri" w:hAnsi="Calibri"/>
          <w:b/>
          <w:bCs/>
          <w:strike w:val="false"/>
        </w:rPr>
        <w:t xml:space="preserve">[Pendiente de definir por Diego]</w:t>
      </w:r>
      <w:r>
        <w:rPr>
          <w:rFonts w:ascii="Calibri" w:cs="Calibri" w:eastAsia="Calibri" w:hAnsi="Calibri"/>
          <w:strike w:val="false"/>
        </w:rPr>
        <w:t xml:space="preserve">: la política exacta de compensación ante un error (reposición del producto, descuento en el próximo pedido, devolución del dinero) y hasta qué monto puede resolver quien atiende el turno sin consultar. No se propone una cifra aquí porque es una decisión de negocio, no un dato técnico.</w:t>
      </w:r>
    </w:p>
    <w:p>
      <w:pPr>
        <w:pStyle w:val="ListParagraph"/>
        <w:numPr>
          <w:ilvl w:val="0"/>
          <w:numId w:val="1"/>
        </w:numPr>
        <w:spacing w:after="60"/>
      </w:pPr>
      <w:r>
        <w:rPr>
          <w:rFonts w:ascii="Calibri" w:cs="Calibri" w:eastAsia="Calibri" w:hAnsi="Calibri"/>
          <w:strike w:val="false"/>
        </w:rPr>
        <w:t xml:space="preserve">Registrar cada queja (qué pasó, con qué producto, en qué canal) — alimenta directamente las métricas de la sección 26 del Documento Maestro y las revisiones de Procedimientos de Producción y Control de Inventario.</w:t>
      </w:r>
    </w:p>
    <w:p>
      <w:pPr>
        <w:pStyle w:val="Heading1"/>
        <w:pBdr>
          <w:bottom w:val="single" w:color="1F4E78" w:sz="6" w:space="4"/>
        </w:pBdr>
        <w:spacing w:after="120" w:before="300"/>
      </w:pPr>
      <w:r>
        <w:rPr>
          <w:rFonts w:ascii="Calibri" w:cs="Calibri" w:eastAsia="Calibri" w:hAnsi="Calibri"/>
          <w:b/>
          <w:bCs/>
          <w:strike w:val="false"/>
          <w:color w:val="1F4E78"/>
        </w:rPr>
        <w:t xml:space="preserve">6. Errores comunes y cómo manejarlos</w:t>
      </w:r>
    </w:p>
    <w:p>
      <w:pPr>
        <w:pStyle w:val="ListParagraph"/>
        <w:numPr>
          <w:ilvl w:val="0"/>
          <w:numId w:val="1"/>
        </w:numPr>
        <w:spacing w:after="60"/>
      </w:pPr>
      <w:r>
        <w:rPr>
          <w:rFonts w:ascii="Calibri" w:cs="Calibri" w:eastAsia="Calibri" w:hAnsi="Calibri"/>
          <w:b/>
          <w:bCs/>
          <w:strike w:val="false"/>
        </w:rPr>
        <w:t xml:space="preserve">Pedido incompleto o equivocado que ya salió</w:t>
      </w:r>
      <w:r>
        <w:rPr>
          <w:rFonts w:ascii="Calibri" w:cs="Calibri" w:eastAsia="Calibri" w:hAnsi="Calibri"/>
          <w:strike w:val="false"/>
        </w:rPr>
        <w:t xml:space="preserve">: [pendiente de definir el protocolo exacto — por ejemplo, llamar al cliente y enviar lo que falta, o coordinar según el caso].</w:t>
      </w:r>
    </w:p>
    <w:p>
      <w:pPr>
        <w:pStyle w:val="ListParagraph"/>
        <w:numPr>
          <w:ilvl w:val="0"/>
          <w:numId w:val="1"/>
        </w:numPr>
        <w:spacing w:after="60"/>
      </w:pPr>
      <w:r>
        <w:rPr>
          <w:rFonts w:ascii="Calibri" w:cs="Calibri" w:eastAsia="Calibri" w:hAnsi="Calibri"/>
          <w:b/>
          <w:bCs/>
          <w:strike w:val="false"/>
        </w:rPr>
        <w:t xml:space="preserve">Demora mayor a la prometida</w:t>
      </w:r>
      <w:r>
        <w:rPr>
          <w:rFonts w:ascii="Calibri" w:cs="Calibri" w:eastAsia="Calibri" w:hAnsi="Calibri"/>
          <w:strike w:val="false"/>
        </w:rPr>
        <w:t xml:space="preserve">: avisar proactivamente al cliente en cuanto se detecte, en vez de esperar a que pregunte.</w:t>
      </w:r>
    </w:p>
    <w:p>
      <w:pPr>
        <w:pStyle w:val="ListParagraph"/>
        <w:numPr>
          <w:ilvl w:val="0"/>
          <w:numId w:val="1"/>
        </w:numPr>
        <w:spacing w:after="60"/>
      </w:pPr>
      <w:r>
        <w:rPr>
          <w:rFonts w:ascii="Calibri" w:cs="Calibri" w:eastAsia="Calibri" w:hAnsi="Calibri"/>
          <w:b/>
          <w:bCs/>
          <w:strike w:val="false"/>
        </w:rPr>
        <w:t xml:space="preserve">Producto dañado o mal presentado, detectado antes de salir</w:t>
      </w:r>
      <w:r>
        <w:rPr>
          <w:rFonts w:ascii="Calibri" w:cs="Calibri" w:eastAsia="Calibri" w:hAnsi="Calibri"/>
          <w:strike w:val="false"/>
        </w:rPr>
        <w:t xml:space="preserve">: no se entrega — se rehace. Esto cuenta como merma "anormal" según el Control de Inventario (sección 5) y se registra igual que cualquier otra incidencia.</w:t>
      </w:r>
    </w:p>
    <w:p>
      <w:pPr>
        <w:pStyle w:val="Heading1"/>
        <w:pBdr>
          <w:bottom w:val="single" w:color="1F4E78" w:sz="6" w:space="4"/>
        </w:pBdr>
        <w:spacing w:after="120" w:before="300"/>
      </w:pPr>
      <w:r>
        <w:rPr>
          <w:rFonts w:ascii="Calibri" w:cs="Calibri" w:eastAsia="Calibri" w:hAnsi="Calibri"/>
          <w:b/>
          <w:bCs/>
          <w:strike w:val="false"/>
          <w:color w:val="1F4E78"/>
        </w:rPr>
        <w:t xml:space="preserve">7. Comunicación con el cliente</w:t>
      </w:r>
    </w:p>
    <w:p>
      <w:pPr>
        <w:pStyle w:val="ListParagraph"/>
        <w:numPr>
          <w:ilvl w:val="0"/>
          <w:numId w:val="1"/>
        </w:numPr>
        <w:spacing w:after="60"/>
      </w:pPr>
      <w:r>
        <w:rPr>
          <w:rFonts w:ascii="Calibri" w:cs="Calibri" w:eastAsia="Calibri" w:hAnsi="Calibri"/>
          <w:strike w:val="false"/>
        </w:rPr>
        <w:t xml:space="preserve">Tono: producto bueno + precio correcto + experiencia consistente (Documento Maestro, sección 24) — no se necesita un tono de venta agresivo, sí uno claro, amable y directo.</w:t>
      </w:r>
    </w:p>
    <w:p>
      <w:pPr>
        <w:pStyle w:val="ListParagraph"/>
        <w:numPr>
          <w:ilvl w:val="0"/>
          <w:numId w:val="1"/>
        </w:numPr>
        <w:spacing w:after="60"/>
      </w:pPr>
      <w:r>
        <w:rPr>
          <w:rFonts w:ascii="Calibri" w:cs="Calibri" w:eastAsia="Calibri" w:hAnsi="Calibri"/>
          <w:strike w:val="false"/>
        </w:rPr>
        <w:t xml:space="preserve">Si un pedido se va a demorar más de lo estimado, se avisa antes de que el cliente tenga que preguntar.</w:t>
      </w:r>
    </w:p>
    <w:p>
      <w:pPr>
        <w:pStyle w:val="Heading1"/>
        <w:pBdr>
          <w:bottom w:val="single" w:color="1F4E78" w:sz="6" w:space="4"/>
        </w:pBdr>
        <w:spacing w:after="120" w:before="300"/>
      </w:pPr>
      <w:r>
        <w:rPr>
          <w:rFonts w:ascii="Calibri" w:cs="Calibri" w:eastAsia="Calibri" w:hAnsi="Calibri"/>
          <w:b/>
          <w:bCs/>
          <w:strike w:val="false"/>
          <w:color w:val="1F4E78"/>
        </w:rPr>
        <w:t xml:space="preserve">8. Métricas de servicio a controlar</w:t>
      </w:r>
    </w:p>
    <w:p>
      <w:pPr>
        <w:spacing w:after="160"/>
        <w:jc w:val="left"/>
      </w:pPr>
      <w:r>
        <w:rPr>
          <w:rFonts w:ascii="Calibri" w:cs="Calibri" w:eastAsia="Calibri" w:hAnsi="Calibri"/>
          <w:strike w:val="false"/>
        </w:rPr>
        <w:t xml:space="preserve">Estas alimentan directamente las métricas de operación del Documento Maestro (sección 26):</w:t>
      </w:r>
    </w:p>
    <w:p>
      <w:pPr>
        <w:pStyle w:val="ListParagraph"/>
        <w:numPr>
          <w:ilvl w:val="0"/>
          <w:numId w:val="1"/>
        </w:numPr>
        <w:spacing w:after="60"/>
      </w:pPr>
      <w:r>
        <w:rPr>
          <w:rFonts w:ascii="Calibri" w:cs="Calibri" w:eastAsia="Calibri" w:hAnsi="Calibri"/>
          <w:strike w:val="false"/>
        </w:rPr>
        <w:t xml:space="preserve">Tiempo de preparación y de entrega, por canal (domicilio vs. mostrador).</w:t>
      </w:r>
    </w:p>
    <w:p>
      <w:pPr>
        <w:pStyle w:val="ListParagraph"/>
        <w:numPr>
          <w:ilvl w:val="0"/>
          <w:numId w:val="1"/>
        </w:numPr>
        <w:spacing w:after="60"/>
      </w:pPr>
      <w:r>
        <w:rPr>
          <w:rFonts w:ascii="Calibri" w:cs="Calibri" w:eastAsia="Calibri" w:hAnsi="Calibri"/>
          <w:strike w:val="false"/>
        </w:rPr>
        <w:t xml:space="preserve">Número de quejas por semana/mes, y su motivo.</w:t>
      </w:r>
    </w:p>
    <w:p>
      <w:pPr>
        <w:pStyle w:val="ListParagraph"/>
        <w:numPr>
          <w:ilvl w:val="0"/>
          <w:numId w:val="1"/>
        </w:numPr>
        <w:spacing w:after="60"/>
      </w:pPr>
      <w:r>
        <w:rPr>
          <w:rFonts w:ascii="Calibri" w:cs="Calibri" w:eastAsia="Calibri" w:hAnsi="Calibri"/>
          <w:strike w:val="false"/>
        </w:rPr>
        <w:t xml:space="preserve">Número de pedidos con error (equivocado, incompleto, demorado).</w:t>
      </w:r>
    </w:p>
    <w:p>
      <w:pPr>
        <w:pStyle w:val="ListParagraph"/>
        <w:numPr>
          <w:ilvl w:val="0"/>
          <w:numId w:val="1"/>
        </w:numPr>
        <w:spacing w:after="60"/>
      </w:pPr>
      <w:r>
        <w:rPr>
          <w:rFonts w:ascii="Calibri" w:cs="Calibri" w:eastAsia="Calibri" w:hAnsi="Calibri"/>
          <w:strike w:val="false"/>
        </w:rPr>
        <w:t xml:space="preserve">Comparación entre canales — para saber si domicilios o mostrador necesita más atención en un momento dado.</w:t>
      </w:r>
    </w:p>
    <w:p>
      <w:pPr>
        <w:pStyle w:val="Heading1"/>
        <w:pBdr>
          <w:bottom w:val="single" w:color="1F4E78" w:sz="6" w:space="4"/>
        </w:pBdr>
        <w:spacing w:after="120" w:before="300"/>
      </w:pPr>
      <w:r>
        <w:rPr>
          <w:rFonts w:ascii="Calibri" w:cs="Calibri" w:eastAsia="Calibri" w:hAnsi="Calibri"/>
          <w:b/>
          <w:bCs/>
          <w:strike w:val="false"/>
          <w:color w:val="1F4E78"/>
        </w:rPr>
        <w:t xml:space="preserve">9. Revisión de este documento</w:t>
      </w:r>
    </w:p>
    <w:p>
      <w:pPr>
        <w:spacing w:after="160"/>
        <w:jc w:val="left"/>
      </w:pPr>
      <w:r>
        <w:rPr>
          <w:rFonts w:ascii="Calibri" w:cs="Calibri" w:eastAsia="Calibri" w:hAnsi="Calibri"/>
          <w:strike w:val="false"/>
        </w:rPr>
        <w:t xml:space="preserve">Esta es la versión 1.1. El canal de recepción de pedidos ya quedó definido (sección 1.1); las partes que siguen pendientes (radio de domicilios, tiempos objetivo, política exacta de compensación) se completan con las decisiones de lanzamiento y con la prueba de producción — no antes. Revisar formalmente después de las primeras 4 semanas de operación real, igual que los demás documentos de FASE 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Pixel Burger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Estándares de Servicio — Pixel Burger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2026-09-20T04:38:35.693Z</dcterms:created>
  <dcterms:modified xsi:type="dcterms:W3CDTF">2026-09-20T04:38:35.693Z</dcterms:modified>
</cp:coreProperties>
</file>

<file path=docProps/custom.xml><?xml version="1.0" encoding="utf-8"?>
<Properties xmlns="http://schemas.openxmlformats.org/officeDocument/2006/custom-properties" xmlns:vt="http://schemas.openxmlformats.org/officeDocument/2006/docPropsVTypes"/>
</file>