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Manejo de Caja — Pixel Burger</w:t>
      </w:r>
    </w:p>
    <w:p>
      <w:pPr>
        <w:spacing w:after="160"/>
        <w:jc w:val="left"/>
      </w:pPr>
      <w:r>
        <w:rPr>
          <w:rFonts w:ascii="Calibri" w:cs="Calibri" w:eastAsia="Calibri" w:hAnsi="Calibri"/>
          <w:i/>
          <w:iCs/>
          <w:strike w:val="false"/>
        </w:rPr>
        <w:t xml:space="preserve">Versión 1.2 — borrador de trabajo, 2026-09-15, actualizado 2026-09-20 (se definió el monto del fondo de cambio y de la caja menor — sección 1 y 7 — y se confirmó que no se usa una plataforma de domicilios de terceros — sección 2.3). Se ajusta con datos reales una vez el negocio esté operando (ver Etapa 1 del Documento Maestro). Complementa el Manual de Apertura/Cierre (que ya cubre el conteo de apertura y cierre) y la Política de Distribución del Dinero (que ya cubre la cascada de reparto): este documento cubre lo que pasa </w:t>
      </w:r>
      <w:r>
        <w:rPr>
          <w:rFonts w:ascii="Calibri" w:cs="Calibri" w:eastAsia="Calibri" w:hAnsi="Calibri"/>
          <w:b/>
          <w:bCs/>
          <w:i/>
          <w:iCs/>
          <w:strike w:val="false"/>
        </w:rPr>
        <w:t xml:space="preserve">durante el día</w:t>
      </w:r>
      <w:r>
        <w:rPr>
          <w:rFonts w:ascii="Calibri" w:cs="Calibri" w:eastAsia="Calibri" w:hAnsi="Calibri"/>
          <w:i/>
          <w:iCs/>
          <w:strike w:val="false"/>
        </w:rPr>
        <w:t xml:space="preserve">, entre que se abre la caja y se cierra.</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 y alcance</w:t>
      </w:r>
    </w:p>
    <w:p>
      <w:pPr>
        <w:spacing w:after="160"/>
        <w:jc w:val="left"/>
      </w:pPr>
      <w:r>
        <w:rPr>
          <w:rFonts w:ascii="Calibri" w:cs="Calibri" w:eastAsia="Calibri" w:hAnsi="Calibri"/>
          <w:strike w:val="false"/>
        </w:rPr>
        <w:t xml:space="preserve">El Manual de Apertura/Cierre ya dice que se cuenta el efectivo al abrir (paso 1.4) y se cuadra al cerrar (paso 3.4, 3.1). Lo que faltaba era el tramo intermedio: cómo se recibe cada pago durante el día, cómo se guarda mientras el negocio está abierto, qué se hace con una diferencia de caja cuando aparece, y cómo se transporta el dinero de forma segura al final del día. Este documento cierra ese vacío.</w:t>
      </w:r>
    </w:p>
    <w:p>
      <w:pPr>
        <w:spacing w:after="160"/>
        <w:jc w:val="left"/>
      </w:pPr>
      <w:r>
        <w:rPr>
          <w:rFonts w:ascii="Calibri" w:cs="Calibri" w:eastAsia="Calibri" w:hAnsi="Calibri"/>
          <w:strike w:val="false"/>
        </w:rPr>
        <w:t xml:space="preserve">No reemplaza la Política de Distribución del Dinero (qué se hace con el dinero una vez cuadrado: inventario → gastos → fondos → utilidad) ni el Manual de Apertura/Cierre (cuándo se cuenta): se enfoca en el manejo físico y el control del efectivo y los medios digitales mientras el turno está corriendo.</w:t>
      </w:r>
    </w:p>
    <w:p>
      <w:pPr>
        <w:pStyle w:val="Heading1"/>
        <w:pBdr>
          <w:bottom w:val="single" w:color="1F4E78" w:sz="6" w:space="4"/>
        </w:pBdr>
        <w:spacing w:after="120" w:before="300"/>
      </w:pPr>
      <w:r>
        <w:rPr>
          <w:rFonts w:ascii="Calibri" w:cs="Calibri" w:eastAsia="Calibri" w:hAnsi="Calibri"/>
          <w:b/>
          <w:bCs/>
          <w:strike w:val="false"/>
          <w:color w:val="1F4E78"/>
        </w:rPr>
        <w:t xml:space="preserve">1. Fondo de cambio (base de caja)</w:t>
      </w:r>
    </w:p>
    <w:p>
      <w:pPr>
        <w:pStyle w:val="ListParagraph"/>
        <w:numPr>
          <w:ilvl w:val="0"/>
          <w:numId w:val="1"/>
        </w:numPr>
        <w:spacing w:after="60"/>
      </w:pPr>
      <w:r>
        <w:rPr>
          <w:rFonts w:ascii="Calibri" w:cs="Calibri" w:eastAsia="Calibri" w:hAnsi="Calibri"/>
          <w:strike w:val="false"/>
        </w:rPr>
        <w:t xml:space="preserve">Al abrir, se cuenta y se deja registrado un </w:t>
      </w:r>
      <w:r>
        <w:rPr>
          <w:rFonts w:ascii="Calibri" w:cs="Calibri" w:eastAsia="Calibri" w:hAnsi="Calibri"/>
          <w:b/>
          <w:bCs/>
          <w:strike w:val="false"/>
        </w:rPr>
        <w:t xml:space="preserve">fondo de cambio</w:t>
      </w:r>
      <w:r>
        <w:rPr>
          <w:rFonts w:ascii="Calibri" w:cs="Calibri" w:eastAsia="Calibri" w:hAnsi="Calibri"/>
          <w:strike w:val="false"/>
        </w:rPr>
        <w:t xml:space="preserve"> (Manual de Apertura/Cierre, paso 1.4): efectivo en denominaciones pequeñas para poder dar vueltas desde la primera venta.</w:t>
      </w:r>
    </w:p>
    <w:p>
      <w:pPr>
        <w:pStyle w:val="ListParagraph"/>
        <w:numPr>
          <w:ilvl w:val="0"/>
          <w:numId w:val="1"/>
        </w:numPr>
        <w:spacing w:after="60"/>
      </w:pPr>
      <w:r>
        <w:rPr>
          <w:rFonts w:ascii="Calibri" w:cs="Calibri" w:eastAsia="Calibri" w:hAnsi="Calibri"/>
          <w:b/>
          <w:bCs/>
          <w:strike w:val="false"/>
        </w:rPr>
        <w:t xml:space="preserve">Monto definido: $150.000.</w:t>
      </w:r>
      <w:r>
        <w:rPr>
          <w:rFonts w:ascii="Calibri" w:cs="Calibri" w:eastAsia="Calibri" w:hAnsi="Calibri"/>
          <w:strike w:val="false"/>
        </w:rPr>
        <w:t xml:space="preserve"> Razonamiento (ver también sección 1.1): los tres precios de venta (Clásica $22.100, Montañera $29.100, Cheese $31.900 — hoja Food Cost) no son cifras redondas, así que casi toda venta en efectivo genera vuelta, y esa vuelta hay que poder darla desde el primer cliente del día, antes de que haya efectivo de ventas acumulado en caja para respaldarla. $150.000 cubre cómodamente la vuelta de las primeras 8-10 ventas en efectivo sin quedar corto, sin ser tanto dinero como para representar un riesgo si el local queda solo un momento.</w:t>
      </w:r>
    </w:p>
    <w:p>
      <w:pPr>
        <w:pStyle w:val="ListParagraph"/>
        <w:numPr>
          <w:ilvl w:val="0"/>
          <w:numId w:val="1"/>
        </w:numPr>
        <w:spacing w:after="60"/>
      </w:pPr>
      <w:r>
        <w:rPr>
          <w:rFonts w:ascii="Calibri" w:cs="Calibri" w:eastAsia="Calibri" w:hAnsi="Calibri"/>
          <w:b/>
          <w:bCs/>
          <w:strike w:val="false"/>
        </w:rPr>
        <w:t xml:space="preserve">Composición sugerida del fondo de cambio</w:t>
      </w:r>
      <w:r>
        <w:rPr>
          <w:rFonts w:ascii="Calibri" w:cs="Calibri" w:eastAsia="Calibri" w:hAnsi="Calibri"/>
          <w:strike w:val="false"/>
        </w:rPr>
        <w:t xml:space="preserve"> (para poder armar cualquier vuelta, incluidas las terminadas en 100/900 de los precios actuales):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Denominación</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Cantidad</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Subtotal</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Billete $10.000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$50.000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Billete $5.000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8</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$40.000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Billete $2.000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$20.000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Billete $1.000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15</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$15.000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Moneda $500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$10.000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Moneda $200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$6.000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Moneda $100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$3.000</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Moneda $50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120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$6.000</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Total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$150.000</w:t>
            </w:r>
          </w:p>
        </w:tc>
      </w:tr>
    </w:tbl>
    <w:p>
      <w:pPr>
        <w:spacing w:after="200"/>
      </w:pPr>
    </w:p>
    <w:p>
      <w:pPr>
        <w:pStyle w:val="ListParagraph"/>
        <w:numPr>
          <w:ilvl w:val="0"/>
          <w:numId w:val="1"/>
        </w:numPr>
        <w:spacing w:after="60"/>
      </w:pPr>
      <w:r>
        <w:rPr>
          <w:rFonts w:ascii="Calibri" w:cs="Calibri" w:eastAsia="Calibri" w:hAnsi="Calibri"/>
          <w:strike w:val="false"/>
        </w:rPr>
        <w:t xml:space="preserve">El fondo de cambio </w:t>
      </w:r>
      <w:r>
        <w:rPr>
          <w:rFonts w:ascii="Calibri" w:cs="Calibri" w:eastAsia="Calibri" w:hAnsi="Calibri"/>
          <w:b/>
          <w:bCs/>
          <w:strike w:val="false"/>
        </w:rPr>
        <w:t xml:space="preserve">no se cuenta como venta del día</w:t>
      </w:r>
      <w:r>
        <w:rPr>
          <w:rFonts w:ascii="Calibri" w:cs="Calibri" w:eastAsia="Calibri" w:hAnsi="Calibri"/>
          <w:strike w:val="false"/>
        </w:rPr>
        <w:t xml:space="preserve"> ni se mezcla con lo que entra por ventas — al cierre, se separa primero el fondo de cambio y luego se cuadra lo demás contra las ventas registradas.</w:t>
      </w:r>
    </w:p>
    <w:p>
      <w:pPr>
        <w:pStyle w:val="Heading2"/>
        <w:spacing w:after="100" w:before="200"/>
      </w:pPr>
      <w:r>
        <w:rPr>
          <w:rFonts w:ascii="Calibri" w:cs="Calibri" w:eastAsia="Calibri" w:hAnsi="Calibri"/>
          <w:b/>
          <w:bCs/>
          <w:strike w:val="false"/>
          <w:color w:val="595959"/>
        </w:rPr>
        <w:t xml:space="preserve">1.1 Nota sobre los precios y el sencillo</w:t>
      </w:r>
    </w:p>
    <w:p>
      <w:pPr>
        <w:spacing w:after="160"/>
        <w:jc w:val="left"/>
      </w:pPr>
      <w:r>
        <w:rPr>
          <w:rFonts w:ascii="Calibri" w:cs="Calibri" w:eastAsia="Calibri" w:hAnsi="Calibri"/>
          <w:strike w:val="false"/>
        </w:rPr>
        <w:t xml:space="preserve">Esto no es una tarea nueva, es un llamado de atención que ya estaba en el Documento Maestro (sección 10): la columna "Precio final a usar" de la hoja Food Cost está marcada en amarillo justamente para que Diego ajuste los precios (por ejemplo, terminarlos en 900 en vez de en 100) antes de definir el sencillo con el que se abre. Si los precios cambian, la composición de la tabla de arriba se revisa junto con ese ajuste — el monto total de $150.000 debería seguir siendo razonable, pero la mezcla de denominaciones puede necesitar ajuste.</w:t>
      </w:r>
    </w:p>
    <w:p>
      <w:pPr>
        <w:pStyle w:val="Heading1"/>
        <w:pBdr>
          <w:bottom w:val="single" w:color="1F4E78" w:sz="6" w:space="4"/>
        </w:pBdr>
        <w:spacing w:after="120" w:before="300"/>
      </w:pPr>
      <w:r>
        <w:rPr>
          <w:rFonts w:ascii="Calibri" w:cs="Calibri" w:eastAsia="Calibri" w:hAnsi="Calibri"/>
          <w:b/>
          <w:bCs/>
          <w:strike w:val="false"/>
          <w:color w:val="1F4E78"/>
        </w:rPr>
        <w:t xml:space="preserve">2. Recepción de pagos durante el día</w:t>
      </w:r>
    </w:p>
    <w:p>
      <w:pPr>
        <w:spacing w:after="160"/>
        <w:jc w:val="left"/>
      </w:pPr>
      <w:r>
        <w:rPr>
          <w:rFonts w:ascii="Calibri" w:cs="Calibri" w:eastAsia="Calibri" w:hAnsi="Calibri"/>
          <w:strike w:val="false"/>
        </w:rPr>
        <w:t xml:space="preserve">Cada venta se cobra y se registra en el momento (Manual de Apertura/Cierre, sección 2: "registrar cada venta... no de memoria al final del día"), sin importar el medio de pago:</w:t>
      </w:r>
    </w:p>
    <w:p>
      <w:pPr>
        <w:pStyle w:val="Heading2"/>
        <w:spacing w:after="100" w:before="200"/>
      </w:pPr>
      <w:r>
        <w:rPr>
          <w:rFonts w:ascii="Calibri" w:cs="Calibri" w:eastAsia="Calibri" w:hAnsi="Calibri"/>
          <w:b/>
          <w:bCs/>
          <w:strike w:val="false"/>
          <w:color w:val="595959"/>
        </w:rPr>
        <w:t xml:space="preserve">2.1 Efectivo</w:t>
      </w:r>
    </w:p>
    <w:p>
      <w:pPr>
        <w:pStyle w:val="ListParagraph"/>
        <w:numPr>
          <w:ilvl w:val="0"/>
          <w:numId w:val="1"/>
        </w:numPr>
        <w:spacing w:after="60"/>
      </w:pPr>
      <w:r>
        <w:rPr>
          <w:rFonts w:ascii="Calibri" w:cs="Calibri" w:eastAsia="Calibri" w:hAnsi="Calibri"/>
          <w:strike w:val="false"/>
        </w:rPr>
        <w:t xml:space="preserve">Se recibe, se da la vuelta si aplica, y el billete/moneda recibido se guarda de inmediato en el lugar designado para caja (no se deja suelto en el mesón ni en el bolsillo de quien atiende).</w:t>
      </w:r>
    </w:p>
    <w:p>
      <w:pPr>
        <w:pStyle w:val="ListParagraph"/>
        <w:numPr>
          <w:ilvl w:val="0"/>
          <w:numId w:val="1"/>
        </w:numPr>
        <w:spacing w:after="60"/>
      </w:pPr>
      <w:r>
        <w:rPr>
          <w:rFonts w:ascii="Calibri" w:cs="Calibri" w:eastAsia="Calibri" w:hAnsi="Calibri"/>
          <w:strike w:val="false"/>
        </w:rPr>
        <w:t xml:space="preserve">En domicilios: el domiciliario cobra en efectivo si ese fue el medio acordado, y entrega ese dinero al volver — no se queda circulando fuera de caja hasta el cierre (ver sección 5.1 del Manual de Apertura/Cierre: "confirmar el cobro... antes de la salida").</w:t>
      </w:r>
    </w:p>
    <w:p>
      <w:pPr>
        <w:pStyle w:val="Heading2"/>
        <w:spacing w:after="100" w:before="200"/>
      </w:pPr>
      <w:r>
        <w:rPr>
          <w:rFonts w:ascii="Calibri" w:cs="Calibri" w:eastAsia="Calibri" w:hAnsi="Calibri"/>
          <w:b/>
          <w:bCs/>
          <w:strike w:val="false"/>
          <w:color w:val="595959"/>
        </w:rPr>
        <w:t xml:space="preserve">2.2 Transferencia / datáfono / pago digital</w:t>
      </w:r>
    </w:p>
    <w:p>
      <w:pPr>
        <w:pStyle w:val="ListParagraph"/>
        <w:numPr>
          <w:ilvl w:val="0"/>
          <w:numId w:val="1"/>
        </w:numPr>
        <w:spacing w:after="60"/>
      </w:pPr>
      <w:r>
        <w:rPr>
          <w:rFonts w:ascii="Calibri" w:cs="Calibri" w:eastAsia="Calibri" w:hAnsi="Calibri"/>
          <w:strike w:val="false"/>
        </w:rPr>
        <w:t xml:space="preserve">Se confirma que el pago quedó registrado (notificación de la transferencia, o el datáfono aprobó la transacción) </w:t>
      </w:r>
      <w:r>
        <w:rPr>
          <w:rFonts w:ascii="Calibri" w:cs="Calibri" w:eastAsia="Calibri" w:hAnsi="Calibri"/>
          <w:b/>
          <w:bCs/>
          <w:strike w:val="false"/>
        </w:rPr>
        <w:t xml:space="preserve">antes de entregar el pedido</w:t>
      </w:r>
      <w:r>
        <w:rPr>
          <w:rFonts w:ascii="Calibri" w:cs="Calibri" w:eastAsia="Calibri" w:hAnsi="Calibri"/>
          <w:strike w:val="false"/>
        </w:rPr>
        <w:t xml:space="preserve"> — no se entrega a cuenta de que "ya debe haber llegado".</w:t>
      </w:r>
    </w:p>
    <w:p>
      <w:pPr>
        <w:pStyle w:val="ListParagraph"/>
        <w:numPr>
          <w:ilvl w:val="0"/>
          <w:numId w:val="1"/>
        </w:numPr>
        <w:spacing w:after="60"/>
      </w:pPr>
      <w:r>
        <w:rPr>
          <w:rFonts w:ascii="Calibri" w:cs="Calibri" w:eastAsia="Calibri" w:hAnsi="Calibri"/>
          <w:strike w:val="false"/>
        </w:rPr>
        <w:t xml:space="preserve">Cada pago digital se anota junto con la venta a la que corresponde, para poder conciliarlo al cierre contra el extracto o el resumen del datáfono/plataforma.</w:t>
      </w:r>
    </w:p>
    <w:p>
      <w:pPr>
        <w:pStyle w:val="Heading2"/>
        <w:spacing w:after="100" w:before="200"/>
      </w:pPr>
      <w:r>
        <w:rPr>
          <w:rFonts w:ascii="Calibri" w:cs="Calibri" w:eastAsia="Calibri" w:hAnsi="Calibri"/>
          <w:b/>
          <w:bCs/>
          <w:strike w:val="false"/>
          <w:color w:val="595959"/>
        </w:rPr>
        <w:t xml:space="preserve">2.3 Plataformas de domicilio (no aplica por ahora)</w:t>
      </w:r>
    </w:p>
    <w:p>
      <w:pPr>
        <w:pStyle w:val="ListParagraph"/>
        <w:numPr>
          <w:ilvl w:val="0"/>
          <w:numId w:val="1"/>
        </w:numPr>
        <w:spacing w:after="60"/>
      </w:pPr>
      <w:r>
        <w:rPr>
          <w:rFonts w:ascii="Calibri" w:cs="Calibri" w:eastAsia="Calibri" w:hAnsi="Calibri"/>
          <w:b/>
          <w:bCs/>
          <w:strike w:val="false"/>
        </w:rPr>
        <w:t xml:space="preserve">Definido (2026-09-20)</w:t>
      </w:r>
      <w:r>
        <w:rPr>
          <w:rFonts w:ascii="Calibri" w:cs="Calibri" w:eastAsia="Calibri" w:hAnsi="Calibri"/>
          <w:strike w:val="false"/>
        </w:rPr>
        <w:t xml:space="preserve">: no se usa una plataforma de domicilios de terceros tipo Rappi para el lanzamiento — la entrega es propia, con la moto de Pixel Burger (ver Estrategia de Canales y Domicilios). Esta sección queda sin uso mientras esa decisión no cambie.</w:t>
      </w:r>
    </w:p>
    <w:p>
      <w:pPr>
        <w:pStyle w:val="ListParagraph"/>
        <w:numPr>
          <w:ilvl w:val="0"/>
          <w:numId w:val="1"/>
        </w:numPr>
        <w:spacing w:after="60"/>
      </w:pPr>
      <w:r>
        <w:rPr>
          <w:rFonts w:ascii="Calibri" w:cs="Calibri" w:eastAsia="Calibri" w:hAnsi="Calibri"/>
          <w:strike w:val="false"/>
        </w:rPr>
        <w:t xml:space="preserve">Si en el futuro se suma un agregador externo como canal adicional, esta sección se actualiza entonces: esas plataformas suelen pagar por lotes/periodos, no por pedido, y eso necesita su propio proceso de conciliación contra las ventas del día en que ocurrieron.</w:t>
      </w:r>
    </w:p>
    <w:p>
      <w:pPr>
        <w:pStyle w:val="Heading1"/>
        <w:pBdr>
          <w:bottom w:val="single" w:color="1F4E78" w:sz="6" w:space="4"/>
        </w:pBdr>
        <w:spacing w:after="120" w:before="300"/>
      </w:pPr>
      <w:r>
        <w:rPr>
          <w:rFonts w:ascii="Calibri" w:cs="Calibri" w:eastAsia="Calibri" w:hAnsi="Calibri"/>
          <w:b/>
          <w:bCs/>
          <w:strike w:val="false"/>
          <w:color w:val="1F4E78"/>
        </w:rPr>
        <w:t xml:space="preserve">3. Durante el turno</w:t>
      </w:r>
    </w:p>
    <w:p>
      <w:pPr>
        <w:pStyle w:val="ListParagraph"/>
        <w:numPr>
          <w:ilvl w:val="0"/>
          <w:numId w:val="1"/>
        </w:numPr>
        <w:spacing w:after="60"/>
      </w:pPr>
      <w:r>
        <w:rPr>
          <w:rFonts w:ascii="Calibri" w:cs="Calibri" w:eastAsia="Calibri" w:hAnsi="Calibri"/>
          <w:strike w:val="false"/>
        </w:rPr>
        <w:t xml:space="preserve">El efectivo se mantiene en un solo lugar designado (caja, cajón con seguro, o similar) — no en varios sitios ni repartido entre personas.</w:t>
      </w:r>
    </w:p>
    <w:p>
      <w:pPr>
        <w:pStyle w:val="ListParagraph"/>
        <w:numPr>
          <w:ilvl w:val="0"/>
          <w:numId w:val="1"/>
        </w:numPr>
        <w:spacing w:after="60"/>
      </w:pPr>
      <w:r>
        <w:rPr>
          <w:rFonts w:ascii="Calibri" w:cs="Calibri" w:eastAsia="Calibri" w:hAnsi="Calibri"/>
          <w:strike w:val="false"/>
        </w:rPr>
        <w:t xml:space="preserve">Si hay más de una persona cobrando en el mismo turno, se define de antemano quién maneja la caja física — no se turnan a media jornada sin dejar registro de en qué momento cambió.</w:t>
      </w:r>
    </w:p>
    <w:p>
      <w:pPr>
        <w:pStyle w:val="ListParagraph"/>
        <w:numPr>
          <w:ilvl w:val="0"/>
          <w:numId w:val="1"/>
        </w:numPr>
        <w:spacing w:after="60"/>
      </w:pPr>
      <w:r>
        <w:rPr>
          <w:rFonts w:ascii="Calibri" w:cs="Calibri" w:eastAsia="Calibri" w:hAnsi="Calibri"/>
          <w:strike w:val="false"/>
        </w:rPr>
        <w:t xml:space="preserve">Si en algún momento el efectivo acumulado en caja parece alto para lo que conviene tener a la vista (por ejemplo, después de una buena mañana de ventas), se puede apartar una parte a un lugar más seguro dentro del local sin esperar al cierre — esto es una decisión de sentido común, no una regla con un monto fijo todavía.</w:t>
      </w:r>
    </w:p>
    <w:p>
      <w:pPr>
        <w:pStyle w:val="Heading1"/>
        <w:pBdr>
          <w:bottom w:val="single" w:color="1F4E78" w:sz="6" w:space="4"/>
        </w:pBdr>
        <w:spacing w:after="120" w:before="300"/>
      </w:pPr>
      <w:r>
        <w:rPr>
          <w:rFonts w:ascii="Calibri" w:cs="Calibri" w:eastAsia="Calibri" w:hAnsi="Calibri"/>
          <w:b/>
          <w:bCs/>
          <w:strike w:val="false"/>
          <w:color w:val="1F4E78"/>
        </w:rPr>
        <w:t xml:space="preserve">4. Cuadre al cierre</w:t>
      </w:r>
    </w:p>
    <w:p>
      <w:pPr>
        <w:spacing w:after="160"/>
        <w:jc w:val="left"/>
      </w:pPr>
      <w:r>
        <w:rPr>
          <w:rFonts w:ascii="Calibri" w:cs="Calibri" w:eastAsia="Calibri" w:hAnsi="Calibri"/>
          <w:strike w:val="false"/>
        </w:rPr>
        <w:t xml:space="preserve">Este paso ya está definido en el Manual de Apertura/Cierre (sección 3.4) y no se repite en detalle aquí; solo se ancla la secuencia:</w:t>
      </w:r>
    </w:p>
    <w:p>
      <w:pPr>
        <w:pStyle w:val="ListParagraph"/>
        <w:numPr>
          <w:ilvl w:val="0"/>
          <w:numId w:val="2"/>
        </w:numPr>
        <w:spacing w:after="60"/>
      </w:pPr>
      <w:r>
        <w:rPr>
          <w:rFonts w:ascii="Calibri" w:cs="Calibri" w:eastAsia="Calibri" w:hAnsi="Calibri"/>
          <w:strike w:val="false"/>
        </w:rPr>
        <w:t xml:space="preserve">Separar el fondo de cambio (sección 1 de este documento, $150.000) del resto del efectivo.</w:t>
      </w:r>
    </w:p>
    <w:p>
      <w:pPr>
        <w:pStyle w:val="ListParagraph"/>
        <w:numPr>
          <w:ilvl w:val="0"/>
          <w:numId w:val="2"/>
        </w:numPr>
        <w:spacing w:after="60"/>
      </w:pPr>
      <w:r>
        <w:rPr>
          <w:rFonts w:ascii="Calibri" w:cs="Calibri" w:eastAsia="Calibri" w:hAnsi="Calibri"/>
          <w:strike w:val="false"/>
        </w:rPr>
        <w:t xml:space="preserve">Contar el efectivo restante y sumarlo a lo confirmado por transferencia/datáfono/plataformas del día.</w:t>
      </w:r>
    </w:p>
    <w:p>
      <w:pPr>
        <w:pStyle w:val="ListParagraph"/>
        <w:numPr>
          <w:ilvl w:val="0"/>
          <w:numId w:val="2"/>
        </w:numPr>
        <w:spacing w:after="60"/>
      </w:pPr>
      <w:r>
        <w:rPr>
          <w:rFonts w:ascii="Calibri" w:cs="Calibri" w:eastAsia="Calibri" w:hAnsi="Calibri"/>
          <w:strike w:val="false"/>
        </w:rPr>
        <w:t xml:space="preserve">Comparar ese total contra las ventas registradas durante el día (sección 2).</w:t>
      </w:r>
    </w:p>
    <w:p>
      <w:pPr>
        <w:pStyle w:val="ListParagraph"/>
        <w:numPr>
          <w:ilvl w:val="0"/>
          <w:numId w:val="2"/>
        </w:numPr>
        <w:spacing w:after="60"/>
      </w:pPr>
      <w:r>
        <w:rPr>
          <w:rFonts w:ascii="Calibri" w:cs="Calibri" w:eastAsia="Calibri" w:hAnsi="Calibri"/>
          <w:strike w:val="false"/>
        </w:rPr>
        <w:t xml:space="preserve">Si coincide, se sigue con la cascada de la Política de Distribución del Dinero (inventario → gastos → fondos → utilidad).</w:t>
      </w:r>
    </w:p>
    <w:p>
      <w:pPr>
        <w:pStyle w:val="ListParagraph"/>
        <w:numPr>
          <w:ilvl w:val="0"/>
          <w:numId w:val="2"/>
        </w:numPr>
        <w:spacing w:after="60"/>
      </w:pPr>
      <w:r>
        <w:rPr>
          <w:rFonts w:ascii="Calibri" w:cs="Calibri" w:eastAsia="Calibri" w:hAnsi="Calibri"/>
          <w:strike w:val="false"/>
        </w:rPr>
        <w:t xml:space="preserve">Si no coincide, ver sección 5 de este documento (diferencias de caja) antes de continuar.</w:t>
      </w:r>
    </w:p>
    <w:p>
      <w:pPr>
        <w:pStyle w:val="Heading1"/>
        <w:pBdr>
          <w:bottom w:val="single" w:color="1F4E78" w:sz="6" w:space="4"/>
        </w:pBdr>
        <w:spacing w:after="120" w:before="300"/>
      </w:pPr>
      <w:r>
        <w:rPr>
          <w:rFonts w:ascii="Calibri" w:cs="Calibri" w:eastAsia="Calibri" w:hAnsi="Calibri"/>
          <w:b/>
          <w:bCs/>
          <w:strike w:val="false"/>
          <w:color w:val="1F4E78"/>
        </w:rPr>
        <w:t xml:space="preserve">5. Diferencias de caja (faltantes y sobrantes)</w:t>
      </w:r>
    </w:p>
    <w:p>
      <w:pPr>
        <w:pStyle w:val="ListParagraph"/>
        <w:numPr>
          <w:ilvl w:val="0"/>
          <w:numId w:val="1"/>
        </w:numPr>
        <w:spacing w:after="60"/>
      </w:pPr>
      <w:r>
        <w:rPr>
          <w:rFonts w:ascii="Calibri" w:cs="Calibri" w:eastAsia="Calibri" w:hAnsi="Calibri"/>
          <w:b/>
          <w:bCs/>
          <w:strike w:val="false"/>
        </w:rPr>
        <w:t xml:space="preserve">Faltante</w:t>
      </w:r>
      <w:r>
        <w:rPr>
          <w:rFonts w:ascii="Calibri" w:cs="Calibri" w:eastAsia="Calibri" w:hAnsi="Calibri"/>
          <w:strike w:val="false"/>
        </w:rPr>
        <w:t xml:space="preserve"> (hay menos efectivo del que deberían sumar las ventas registradas): se anota como incidencia del día (igual que en el Manual de Apertura/Cierre, sección 3.5) con el monto exacto y cualquier explicación posible (vuelta mal dada, error de registro, algo no cobrado).</w:t>
      </w:r>
    </w:p>
    <w:p>
      <w:pPr>
        <w:pStyle w:val="ListParagraph"/>
        <w:numPr>
          <w:ilvl w:val="0"/>
          <w:numId w:val="1"/>
        </w:numPr>
        <w:spacing w:after="60"/>
      </w:pPr>
      <w:r>
        <w:rPr>
          <w:rFonts w:ascii="Calibri" w:cs="Calibri" w:eastAsia="Calibri" w:hAnsi="Calibri"/>
          <w:b/>
          <w:bCs/>
          <w:strike w:val="false"/>
        </w:rPr>
        <w:t xml:space="preserve">Sobrante</w:t>
      </w:r>
      <w:r>
        <w:rPr>
          <w:rFonts w:ascii="Calibri" w:cs="Calibri" w:eastAsia="Calibri" w:hAnsi="Calibri"/>
          <w:strike w:val="false"/>
        </w:rPr>
        <w:t xml:space="preserve"> (hay más efectivo del esperado): también se anota — normalmente es un error de vuelta a favor del negocio o un registro de venta que faltó, no "dinero de más" para usar libremente.</w:t>
      </w:r>
    </w:p>
    <w:p>
      <w:pPr>
        <w:pStyle w:val="ListParagraph"/>
        <w:numPr>
          <w:ilvl w:val="0"/>
          <w:numId w:val="1"/>
        </w:numPr>
        <w:spacing w:after="60"/>
      </w:pPr>
      <w:r>
        <w:rPr>
          <w:rFonts w:ascii="Calibri" w:cs="Calibri" w:eastAsia="Calibri" w:hAnsi="Calibri"/>
          <w:b/>
          <w:bCs/>
          <w:strike w:val="false"/>
        </w:rPr>
        <w:t xml:space="preserve">[Pendiente de definir por Diego]</w:t>
      </w:r>
      <w:r>
        <w:rPr>
          <w:rFonts w:ascii="Calibri" w:cs="Calibri" w:eastAsia="Calibri" w:hAnsi="Calibri"/>
          <w:strike w:val="false"/>
        </w:rPr>
        <w:t xml:space="preserve">: un umbral de tolerancia (por ejemplo, diferencias menores a cierto monto se consideran error normal de vueltas y no se investigan a fondo; diferencias mayores sí se revisan caso por caso). No se propone una cifra aquí porque todavía no hay datos reales de cuánto varía un cuadre de caja típico en la operación real.</w:t>
      </w:r>
    </w:p>
    <w:p>
      <w:pPr>
        <w:pStyle w:val="ListParagraph"/>
        <w:numPr>
          <w:ilvl w:val="0"/>
          <w:numId w:val="1"/>
        </w:numPr>
        <w:spacing w:after="60"/>
      </w:pPr>
      <w:r>
        <w:rPr>
          <w:rFonts w:ascii="Calibri" w:cs="Calibri" w:eastAsia="Calibri" w:hAnsi="Calibri"/>
          <w:strike w:val="false"/>
        </w:rPr>
        <w:t xml:space="preserve">Una diferencia que se repite en el mismo sentido (siempre falta, o siempre sobra) es una señal de que algo está mal en el proceso de cobro o de vuelta — no se vuelve "normal" por costumbre, igual que con las mermas de inventario (Control de Inventario, sección 5).</w:t>
      </w:r>
    </w:p>
    <w:p>
      <w:pPr>
        <w:pStyle w:val="Heading1"/>
        <w:pBdr>
          <w:bottom w:val="single" w:color="1F4E78" w:sz="6" w:space="4"/>
        </w:pBdr>
        <w:spacing w:after="120" w:before="300"/>
      </w:pPr>
      <w:r>
        <w:rPr>
          <w:rFonts w:ascii="Calibri" w:cs="Calibri" w:eastAsia="Calibri" w:hAnsi="Calibri"/>
          <w:b/>
          <w:bCs/>
          <w:strike w:val="false"/>
          <w:color w:val="1F4E78"/>
        </w:rPr>
        <w:t xml:space="preserve">6. Custodia y transporte del efectivo</w:t>
      </w:r>
    </w:p>
    <w:p>
      <w:pPr>
        <w:pStyle w:val="ListParagraph"/>
        <w:numPr>
          <w:ilvl w:val="0"/>
          <w:numId w:val="1"/>
        </w:numPr>
        <w:spacing w:after="60"/>
      </w:pPr>
      <w:r>
        <w:rPr>
          <w:rFonts w:ascii="Calibri" w:cs="Calibri" w:eastAsia="Calibri" w:hAnsi="Calibri"/>
          <w:strike w:val="false"/>
        </w:rPr>
        <w:t xml:space="preserve">El efectivo del día </w:t>
      </w:r>
      <w:r>
        <w:rPr>
          <w:rFonts w:ascii="Calibri" w:cs="Calibri" w:eastAsia="Calibri" w:hAnsi="Calibri"/>
          <w:b/>
          <w:bCs/>
          <w:strike w:val="false"/>
        </w:rPr>
        <w:t xml:space="preserve">no se deja en el local durante la noche si no hay una caja fuerte</w:t>
      </w:r>
      <w:r>
        <w:rPr>
          <w:rFonts w:ascii="Calibri" w:cs="Calibri" w:eastAsia="Calibri" w:hAnsi="Calibri"/>
          <w:strike w:val="false"/>
        </w:rPr>
        <w:t xml:space="preserve"> (esto ya está en el Manual de Apertura/Cierre, paso 3.4).</w:t>
      </w:r>
    </w:p>
    <w:p>
      <w:pPr>
        <w:pStyle w:val="ListParagraph"/>
        <w:numPr>
          <w:ilvl w:val="0"/>
          <w:numId w:val="1"/>
        </w:numPr>
        <w:spacing w:after="60"/>
      </w:pPr>
      <w:r>
        <w:rPr>
          <w:rFonts w:ascii="Calibri" w:cs="Calibri" w:eastAsia="Calibri" w:hAnsi="Calibri"/>
          <w:b/>
          <w:bCs/>
          <w:strike w:val="false"/>
        </w:rPr>
        <w:t xml:space="preserve">[Pendiente de definir]</w:t>
      </w:r>
      <w:r>
        <w:rPr>
          <w:rFonts w:ascii="Calibri" w:cs="Calibri" w:eastAsia="Calibri" w:hAnsi="Calibri"/>
          <w:strike w:val="false"/>
        </w:rPr>
        <w:t xml:space="preserve">: dónde se guarda el efectivo fuera del local (en casa, en un banco vía consignación, en una caja fuerte que se instale más adelante) y con qué frecuencia se deposita en una cuenta bancaria si aplica. Mientras el negocio es de un solo responsable, esto depende de la logística personal de Diego; se define y se documenta aquí cuando haya una rutina fija.</w:t>
      </w:r>
    </w:p>
    <w:p>
      <w:pPr>
        <w:pStyle w:val="ListParagraph"/>
        <w:numPr>
          <w:ilvl w:val="0"/>
          <w:numId w:val="1"/>
        </w:numPr>
        <w:spacing w:after="60"/>
      </w:pPr>
      <w:r>
        <w:rPr>
          <w:rFonts w:ascii="Calibri" w:cs="Calibri" w:eastAsia="Calibri" w:hAnsi="Calibri"/>
          <w:strike w:val="false"/>
        </w:rPr>
        <w:t xml:space="preserve">Si en algún momento se contrata a alguien que cierra el local, se debe definir explícitamente quién transporta el efectivo esa noche y bajo qué condiciones — esto no se improvisa una vez haya más de una persona involucrada en el cierre.</w:t>
      </w:r>
    </w:p>
    <w:p>
      <w:pPr>
        <w:pStyle w:val="Heading1"/>
        <w:pBdr>
          <w:bottom w:val="single" w:color="1F4E78" w:sz="6" w:space="4"/>
        </w:pBdr>
        <w:spacing w:after="120" w:before="300"/>
      </w:pPr>
      <w:r>
        <w:rPr>
          <w:rFonts w:ascii="Calibri" w:cs="Calibri" w:eastAsia="Calibri" w:hAnsi="Calibri"/>
          <w:b/>
          <w:bCs/>
          <w:strike w:val="false"/>
          <w:color w:val="1F4E78"/>
        </w:rPr>
        <w:t xml:space="preserve">7. Caja menor (gastos pequeños del día a día)</w:t>
      </w:r>
    </w:p>
    <w:p>
      <w:pPr>
        <w:spacing w:after="160"/>
        <w:jc w:val="left"/>
      </w:pPr>
      <w:r>
        <w:rPr>
          <w:rFonts w:ascii="Calibri" w:cs="Calibri" w:eastAsia="Calibri" w:hAnsi="Calibri"/>
          <w:strike w:val="false"/>
        </w:rPr>
        <w:t xml:space="preserve">El Documento Maestro (sección 6) ya define el concepto: dinero disponible para gastos operativos pequeños e imprevistos (una compra urgente, un insumo menor, material de limpieza) — no es ganancia, ni fondo de emergencia, ni dinero personal.</w:t>
      </w:r>
    </w:p>
    <w:p>
      <w:pPr>
        <w:pStyle w:val="ListParagraph"/>
        <w:numPr>
          <w:ilvl w:val="0"/>
          <w:numId w:val="1"/>
        </w:numPr>
        <w:spacing w:after="60"/>
      </w:pPr>
      <w:r>
        <w:rPr>
          <w:rFonts w:ascii="Calibri" w:cs="Calibri" w:eastAsia="Calibri" w:hAnsi="Calibri"/>
          <w:strike w:val="false"/>
        </w:rPr>
        <w:t xml:space="preserve">La caja menor se mantiene </w:t>
      </w:r>
      <w:r>
        <w:rPr>
          <w:rFonts w:ascii="Calibri" w:cs="Calibri" w:eastAsia="Calibri" w:hAnsi="Calibri"/>
          <w:b/>
          <w:bCs/>
          <w:strike w:val="false"/>
        </w:rPr>
        <w:t xml:space="preserve">separada</w:t>
      </w:r>
      <w:r>
        <w:rPr>
          <w:rFonts w:ascii="Calibri" w:cs="Calibri" w:eastAsia="Calibri" w:hAnsi="Calibri"/>
          <w:strike w:val="false"/>
        </w:rPr>
        <w:t xml:space="preserve"> del efectivo de ventas del día y del fondo de cambio (sección 1) — no se saca dinero de las ventas o del sencillo para un gasto pequeño y se "devuelve después"; eso rompe el cuadre de caja de la sección 4.</w:t>
      </w:r>
    </w:p>
    <w:p>
      <w:pPr>
        <w:pStyle w:val="ListParagraph"/>
        <w:numPr>
          <w:ilvl w:val="0"/>
          <w:numId w:val="1"/>
        </w:numPr>
        <w:spacing w:after="60"/>
      </w:pPr>
      <w:r>
        <w:rPr>
          <w:rFonts w:ascii="Calibri" w:cs="Calibri" w:eastAsia="Calibri" w:hAnsi="Calibri"/>
          <w:strike w:val="false"/>
        </w:rPr>
        <w:t xml:space="preserve">Todo gasto pagado con caja menor se registra (qué se compró, cuánto, para qué) — igual que cualquier otra compra bajo la Política de Compras.</w:t>
      </w:r>
    </w:p>
    <w:p>
      <w:pPr>
        <w:spacing w:after="160"/>
        <w:jc w:val="left"/>
      </w:pPr>
      <w:r>
        <w:rPr>
          <w:rFonts w:ascii="Calibri" w:cs="Calibri" w:eastAsia="Calibri" w:hAnsi="Calibri"/>
          <w:b/>
          <w:bCs/>
          <w:strike w:val="false"/>
        </w:rPr>
        <w:t xml:space="preserve">Monto definido: $100.000 (caja menor general) + $30.000 (caja menor de domicilios/moto) = $130.000 en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blHeader/>
        </w:trPr>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Caja menor</w:t>
            </w:r>
          </w:p>
        </w:tc>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Monto</w:t>
            </w:r>
          </w:p>
        </w:tc>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Para qué</w:t>
            </w:r>
          </w:p>
        </w:tc>
        <w:tc>
          <w:tcPr>
            <w:tcW w:type="dxa" w:w="225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Regla de reposición</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General (cocina/local)</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$100.000</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Un insumo menor que faltó, material de aseo, una herramienta pequeña, cualquier imprevisto operativo chico</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Se repone hasta $100.000 cada vez que el saldo baja de $30.000 — no se espera a que llegue a $0</w:t>
            </w:r>
          </w:p>
        </w:tc>
      </w:tr>
      <w:tr>
        <w:trPr>
          <w:cantSplit/>
        </w:trPr>
        <w:tc>
          <w:tcPr>
            <w:tcW w:type="dxa" w:w="2250"/>
            <w:tcMar>
              <w:top w:type="dxa" w:w="80"/>
              <w:left w:type="dxa" w:w="100"/>
              <w:bottom w:type="dxa" w:w="80"/>
              <w:right w:type="dxa" w:w="100"/>
            </w:tcMar>
          </w:tcPr>
          <w:p>
            <w:r>
              <w:rPr>
                <w:rFonts w:ascii="Calibri" w:cs="Calibri" w:eastAsia="Calibri" w:hAnsi="Calibri"/>
                <w:strike w:val="false"/>
                <w:sz w:val="20"/>
                <w:szCs w:val="20"/>
              </w:rPr>
              <w:t xml:space="preserve">Domicilios / moto</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$30.000</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Un tanqueo de emergencia, un arreglo menor inmediato (ver Domicilios, sección 4)</w:t>
            </w:r>
          </w:p>
        </w:tc>
        <w:tc>
          <w:tcPr>
            <w:tcW w:type="dxa" w:w="2250"/>
            <w:tcMar>
              <w:top w:type="dxa" w:w="80"/>
              <w:left w:type="dxa" w:w="100"/>
              <w:bottom w:type="dxa" w:w="80"/>
              <w:right w:type="dxa" w:w="100"/>
            </w:tcMar>
          </w:tcPr>
          <w:p>
            <w:r>
              <w:rPr>
                <w:rFonts w:ascii="Calibri" w:cs="Calibri" w:eastAsia="Calibri" w:hAnsi="Calibri"/>
                <w:strike w:val="false"/>
                <w:sz w:val="20"/>
                <w:szCs w:val="20"/>
              </w:rPr>
              <w:t xml:space="preserve">Se repone hasta $30.000 cada vez que se usa — separada de la general porque es la que más rota y la que no puede esperar al cierre</w:t>
            </w:r>
          </w:p>
        </w:tc>
      </w:tr>
    </w:tbl>
    <w:p>
      <w:pPr>
        <w:spacing w:after="200"/>
      </w:pPr>
    </w:p>
    <w:p>
      <w:pPr>
        <w:spacing w:after="160"/>
        <w:jc w:val="left"/>
      </w:pPr>
      <w:r>
        <w:rPr>
          <w:rFonts w:ascii="Calibri" w:cs="Calibri" w:eastAsia="Calibri" w:hAnsi="Calibri"/>
          <w:strike w:val="false"/>
        </w:rPr>
        <w:t xml:space="preserve">Razonamiento: $100.000 es suficiente para cubrir la mayoría de imprevistos operativos chicos (un insumo de última hora, algo de aseo) sin acumular efectivo ocioso fuera de caja; la caja menor de domicilios se separa porque un imprevisto con la moto (gasolina, un arreglo rápido) no puede esperar a que alguien busque plata en la caja menor general en medio de un turno.</w:t>
      </w:r>
    </w:p>
    <w:p>
      <w:pPr>
        <w:pStyle w:val="Heading1"/>
        <w:pBdr>
          <w:bottom w:val="single" w:color="1F4E78" w:sz="6" w:space="4"/>
        </w:pBdr>
        <w:spacing w:after="120" w:before="300"/>
      </w:pPr>
      <w:r>
        <w:rPr>
          <w:rFonts w:ascii="Calibri" w:cs="Calibri" w:eastAsia="Calibri" w:hAnsi="Calibri"/>
          <w:b/>
          <w:bCs/>
          <w:strike w:val="false"/>
          <w:color w:val="1F4E78"/>
        </w:rPr>
        <w:t xml:space="preserve">8. Quién maneja la caja</w:t>
      </w:r>
    </w:p>
    <w:p>
      <w:pPr>
        <w:pStyle w:val="ListParagraph"/>
        <w:numPr>
          <w:ilvl w:val="0"/>
          <w:numId w:val="1"/>
        </w:numPr>
        <w:spacing w:after="60"/>
      </w:pPr>
      <w:r>
        <w:rPr>
          <w:rFonts w:ascii="Calibri" w:cs="Calibri" w:eastAsia="Calibri" w:hAnsi="Calibri"/>
          <w:strike w:val="false"/>
        </w:rPr>
        <w:t xml:space="preserve">Mientras el negocio sea de un solo responsable, Diego recibe, cuenta y registra todo el dinero.</w:t>
      </w:r>
    </w:p>
    <w:p>
      <w:pPr>
        <w:pStyle w:val="ListParagraph"/>
        <w:numPr>
          <w:ilvl w:val="0"/>
          <w:numId w:val="1"/>
        </w:numPr>
        <w:spacing w:after="60"/>
      </w:pPr>
      <w:r>
        <w:rPr>
          <w:rFonts w:ascii="Calibri" w:cs="Calibri" w:eastAsia="Calibri" w:hAnsi="Calibri"/>
          <w:strike w:val="false"/>
        </w:rPr>
        <w:t xml:space="preserve">Cuando haya personal, aplica el mismo principio de control cruzado que en Control de Inventario (sección 7): </w:t>
      </w:r>
      <w:r>
        <w:rPr>
          <w:rFonts w:ascii="Calibri" w:cs="Calibri" w:eastAsia="Calibri" w:hAnsi="Calibri"/>
          <w:b/>
          <w:bCs/>
          <w:strike w:val="false"/>
        </w:rPr>
        <w:t xml:space="preserve">quien cuenta y cuadra la caja al cierre no debería ser la única persona que la manejó todo el día sin ningún registro intermedio</w:t>
      </w:r>
      <w:r>
        <w:rPr>
          <w:rFonts w:ascii="Calibri" w:cs="Calibri" w:eastAsia="Calibri" w:hAnsi="Calibri"/>
          <w:strike w:val="false"/>
        </w:rPr>
        <w:t xml:space="preserve"> — no por desconfianza automática, sino para poder detectar un error a tiempo en vez de que se acumule por semanas.</w:t>
      </w:r>
    </w:p>
    <w:p>
      <w:pPr>
        <w:pStyle w:val="Heading1"/>
        <w:pBdr>
          <w:bottom w:val="single" w:color="1F4E78" w:sz="6" w:space="4"/>
        </w:pBdr>
        <w:spacing w:after="120" w:before="300"/>
      </w:pPr>
      <w:r>
        <w:rPr>
          <w:rFonts w:ascii="Calibri" w:cs="Calibri" w:eastAsia="Calibri" w:hAnsi="Calibri"/>
          <w:b/>
          <w:bCs/>
          <w:strike w:val="false"/>
          <w:color w:val="1F4E78"/>
        </w:rPr>
        <w:t xml:space="preserve">9. Revisión de este documento</w:t>
      </w:r>
    </w:p>
    <w:p>
      <w:pPr>
        <w:spacing w:after="160"/>
        <w:jc w:val="left"/>
      </w:pPr>
      <w:r>
        <w:rPr>
          <w:rFonts w:ascii="Calibri" w:cs="Calibri" w:eastAsia="Calibri" w:hAnsi="Calibri"/>
          <w:strike w:val="false"/>
        </w:rPr>
        <w:t xml:space="preserve">Esta es la versión 1.1. El fondo de cambio ($150.000) y la caja menor ($100.000 + $30.000) ya están definidos (2026-09-20) y se pueden usar desde ya para el cronograma de apertura; las partes que siguen pendientes (umbral de tolerancia de diferencias, logística de custodia/transporte fuera del local, manejo de pagos por plataformas de domicilio) se completan con la experiencia de las primeras semanas reales de caja. Revisar formalmente después de las primeras 4 semanas de operación real, igual que los demás documentos de FASE B — incluyendo confirmar si $150.000 y $130.000 fueron montos suficientes o hay que ajustarlos.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Manejo de Caja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2026-09-20T04:38:35.709Z</dcterms:created>
  <dcterms:modified xsi:type="dcterms:W3CDTF">2026-09-20T04:38:35.709Z</dcterms:modified>
</cp:coreProperties>
</file>

<file path=docProps/custom.xml><?xml version="1.0" encoding="utf-8"?>
<Properties xmlns="http://schemas.openxmlformats.org/officeDocument/2006/custom-properties" xmlns:vt="http://schemas.openxmlformats.org/officeDocument/2006/docPropsVTypes"/>
</file>