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  <w:jc w:val="center"/>
      </w:pPr>
      <w:r>
        <w:rPr>
          <w:b/>
          <w:bCs/>
          <w:color w:val="1F3864"/>
          <w:sz w:val="40"/>
          <w:szCs w:val="40"/>
        </w:rPr>
        <w:t xml:space="preserve">Gemelo Digital Financiero</w:t>
      </w:r>
    </w:p>
    <w:p>
      <w:pPr>
        <w:spacing w:after="300"/>
        <w:jc w:val="center"/>
      </w:pPr>
      <w:r>
        <w:rPr>
          <w:color w:val="444444"/>
          <w:sz w:val="22"/>
          <w:szCs w:val="22"/>
        </w:rPr>
        <w:t xml:space="preserve">Plan de Proyecto — Entregables Semanales</w:t>
      </w:r>
    </w:p>
    <w:p>
      <w:pPr>
        <w:pStyle w:val="Heading2"/>
        <w:spacing w:after="120" w:before="300"/>
      </w:pPr>
      <w:r>
        <w:rPr>
          <w:b/>
          <w:bCs/>
          <w:color w:val="1F3864"/>
          <w:sz w:val="26"/>
          <w:szCs w:val="26"/>
        </w:rPr>
        <w:t xml:space="preserve">Fase 1 — Kick off y Diseño de Solución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50"/>
      </w:tblGrid>
      <w:tr>
        <w:tc>
          <w:tcPr>
            <w:tcW w:type="dxa" w:w="1800"/>
            <w:shd w:fill="EAF1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Semana 1</w:t>
            </w:r>
          </w:p>
        </w:tc>
        <w:tc>
          <w:tcPr>
            <w:tcW w:type="dxa" w:w="75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Canvas del proyecto, roles definidos, repositorio Git creado.</w:t>
            </w:r>
          </w:p>
        </w:tc>
      </w:tr>
      <w:tr>
        <w:tc>
          <w:tcPr>
            <w:tcW w:type="dxa" w:w="1800"/>
            <w:shd w:fill="EAF1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Semana 2</w:t>
            </w:r>
          </w:p>
        </w:tc>
        <w:tc>
          <w:tcPr>
            <w:tcW w:type="dxa" w:w="75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Catálogo preliminar de KPIs.</w:t>
            </w:r>
          </w:p>
        </w:tc>
      </w:tr>
      <w:tr>
        <w:tc>
          <w:tcPr>
            <w:tcW w:type="dxa" w:w="1800"/>
            <w:shd w:fill="EAF1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Semana 3</w:t>
            </w:r>
          </w:p>
        </w:tc>
        <w:tc>
          <w:tcPr>
            <w:tcW w:type="dxa" w:w="75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Diagrama de arquitectura, flujo end-to-end.</w:t>
            </w:r>
          </w:p>
        </w:tc>
      </w:tr>
      <w:tr>
        <w:tc>
          <w:tcPr>
            <w:tcW w:type="dxa" w:w="1800"/>
            <w:shd w:fill="EAF1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Semana 4</w:t>
            </w:r>
          </w:p>
        </w:tc>
        <w:tc>
          <w:tcPr>
            <w:tcW w:type="dxa" w:w="75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Docker Compose, repositorio inicial, estructura de carpetas.</w:t>
            </w:r>
          </w:p>
        </w:tc>
      </w:tr>
    </w:tbl>
    <w:p>
      <w:pPr>
        <w:pStyle w:val="Heading2"/>
        <w:spacing w:after="120" w:before="300"/>
      </w:pPr>
      <w:r>
        <w:rPr>
          <w:b/>
          <w:bCs/>
          <w:color w:val="1F3864"/>
          <w:sz w:val="26"/>
          <w:szCs w:val="26"/>
        </w:rPr>
        <w:t xml:space="preserve">Fase 2 — Ingesta y Capa Bronze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50"/>
      </w:tblGrid>
      <w:tr>
        <w:tc>
          <w:tcPr>
            <w:tcW w:type="dxa" w:w="1800"/>
            <w:shd w:fill="EAF1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Semana 5</w:t>
            </w:r>
          </w:p>
        </w:tc>
        <w:tc>
          <w:tcPr>
            <w:tcW w:type="dxa" w:w="75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Data profiling, diccionario de datos.</w:t>
            </w:r>
          </w:p>
        </w:tc>
      </w:tr>
      <w:tr>
        <w:tc>
          <w:tcPr>
            <w:tcW w:type="dxa" w:w="1800"/>
            <w:shd w:fill="EAF1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Semana 6</w:t>
            </w:r>
          </w:p>
        </w:tc>
        <w:tc>
          <w:tcPr>
            <w:tcW w:type="dxa" w:w="75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Pipeline de carga inicial.</w:t>
            </w:r>
          </w:p>
        </w:tc>
      </w:tr>
      <w:tr>
        <w:tc>
          <w:tcPr>
            <w:tcW w:type="dxa" w:w="1800"/>
            <w:shd w:fill="EAF1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Semana 7</w:t>
            </w:r>
          </w:p>
        </w:tc>
        <w:tc>
          <w:tcPr>
            <w:tcW w:type="dxa" w:w="75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Capa Bronze funcional.</w:t>
            </w:r>
          </w:p>
        </w:tc>
      </w:tr>
      <w:tr>
        <w:tc>
          <w:tcPr>
            <w:tcW w:type="dxa" w:w="1800"/>
            <w:shd w:fill="EAF1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Semana 8</w:t>
            </w:r>
          </w:p>
        </w:tc>
        <w:tc>
          <w:tcPr>
            <w:tcW w:type="dxa" w:w="75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DAG de Airflow, logs básicos.</w:t>
            </w:r>
          </w:p>
        </w:tc>
      </w:tr>
    </w:tbl>
    <w:p>
      <w:pPr>
        <w:spacing w:before="20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2E7D32" w:sz="12"/>
              <w:left w:val="single" w:color="2E7D32" w:sz="12"/>
              <w:bottom w:val="single" w:color="2E7D32" w:sz="12"/>
              <w:right w:val="single" w:color="2E7D32" w:sz="12"/>
            </w:tcBorders>
            <w:shd w:fill="E8F5E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2E7D32"/>
                <w:sz w:val="22"/>
                <w:szCs w:val="22"/>
              </w:rPr>
              <w:t xml:space="preserve">◀ AVANCE ACTUAL DEL PROYECTO — Fase 3 cerrada, arrancando Fase 4</w:t>
            </w:r>
          </w:p>
          <w:p>
            <w:pPr>
              <w:spacing w:before="60"/>
              <w:jc w:val="center"/>
            </w:pPr>
            <w:r>
              <w:rPr>
                <w:i/>
                <w:iCs/>
                <w:color w:val="444444"/>
                <w:sz w:val="18"/>
                <w:szCs w:val="18"/>
              </w:rPr>
              <w:t xml:space="preserve">Fase 3 validada de punta a punta: jobs de PySpark para la Capa Silver (deduplicación, validación de montos, normalización) corriendo sobre el DAG de Airflow, validaciones automáticas de calidad de datos pasando, y Panel Operativo de observabilidad entregado para el equipo de Data Engineering.</w:t>
            </w:r>
          </w:p>
          <w:p>
            <w:pPr>
              <w:spacing w:before="20"/>
              <w:jc w:val="center"/>
            </w:pPr>
            <w:r>
              <w:rPr>
                <w:i/>
                <w:iCs/>
                <w:color w:val="444444"/>
                <w:sz w:val="18"/>
                <w:szCs w:val="18"/>
              </w:rPr>
              <w:t xml:space="preserve">Fase 4 / Semana 13 arrancando: modelo analítico sobre la Capa Gold. Entrega y presentación final del proyecto programada para la semana del 23 al 27 de noviembre de 2026 (dentro del colchón dejado desde el arranque del proyecto).</w:t>
            </w:r>
          </w:p>
        </w:tc>
      </w:tr>
    </w:tbl>
    <w:p>
      <w:pPr>
        <w:pStyle w:val="Heading2"/>
        <w:spacing w:after="120" w:before="300"/>
      </w:pPr>
      <w:r>
        <w:rPr>
          <w:b/>
          <w:bCs/>
          <w:color w:val="1F3864"/>
          <w:sz w:val="26"/>
          <w:szCs w:val="26"/>
        </w:rPr>
        <w:t xml:space="preserve">Fase 3 — Silver y Calidad de Datos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50"/>
      </w:tblGrid>
      <w:tr>
        <w:tc>
          <w:tcPr>
            <w:tcW w:type="dxa" w:w="1800"/>
            <w:shd w:fill="EAF1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Semana 9</w:t>
            </w:r>
          </w:p>
        </w:tc>
        <w:tc>
          <w:tcPr>
            <w:tcW w:type="dxa" w:w="75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Jobs de PySpark.</w:t>
            </w:r>
          </w:p>
        </w:tc>
      </w:tr>
      <w:tr>
        <w:tc>
          <w:tcPr>
            <w:tcW w:type="dxa" w:w="1800"/>
            <w:shd w:fill="EAF1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Semana 10</w:t>
            </w:r>
          </w:p>
        </w:tc>
        <w:tc>
          <w:tcPr>
            <w:tcW w:type="dxa" w:w="75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Dataset Silver v1.</w:t>
            </w:r>
          </w:p>
        </w:tc>
      </w:tr>
      <w:tr>
        <w:tc>
          <w:tcPr>
            <w:tcW w:type="dxa" w:w="1800"/>
            <w:shd w:fill="EAF1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Semana 11</w:t>
            </w:r>
          </w:p>
        </w:tc>
        <w:tc>
          <w:tcPr>
            <w:tcW w:type="dxa" w:w="75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Great Expectations o dbt Tests.</w:t>
            </w:r>
          </w:p>
        </w:tc>
      </w:tr>
      <w:tr>
        <w:tc>
          <w:tcPr>
            <w:tcW w:type="dxa" w:w="1800"/>
            <w:shd w:fill="EAF1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Semana 12</w:t>
            </w:r>
          </w:p>
        </w:tc>
        <w:tc>
          <w:tcPr>
            <w:tcW w:type="dxa" w:w="75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Dashboard operativo inicial.</w:t>
            </w:r>
          </w:p>
        </w:tc>
      </w:tr>
    </w:tbl>
    <w:p>
      <w:pPr>
        <w:pStyle w:val="Heading2"/>
        <w:spacing w:after="120" w:before="300"/>
      </w:pPr>
      <w:r>
        <w:rPr>
          <w:b/>
          <w:bCs/>
          <w:color w:val="1F3864"/>
          <w:sz w:val="26"/>
          <w:szCs w:val="26"/>
        </w:rPr>
        <w:t xml:space="preserve">Fase 4 — Capa Gold y Analítica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50"/>
      </w:tblGrid>
      <w:tr>
        <w:tc>
          <w:tcPr>
            <w:tcW w:type="dxa" w:w="1800"/>
            <w:shd w:fill="EAF1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14–18 sep</w:t>
            </w:r>
          </w:p>
        </w:tc>
        <w:tc>
          <w:tcPr>
            <w:tcW w:type="dxa" w:w="75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Modelo analítico.</w:t>
            </w:r>
          </w:p>
        </w:tc>
      </w:tr>
      <w:tr>
        <w:tc>
          <w:tcPr>
            <w:tcW w:type="dxa" w:w="1800"/>
            <w:shd w:fill="EAF1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21–25 sep</w:t>
            </w:r>
          </w:p>
        </w:tc>
        <w:tc>
          <w:tcPr>
            <w:tcW w:type="dxa" w:w="75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Tablas Gold.</w:t>
            </w:r>
          </w:p>
        </w:tc>
      </w:tr>
      <w:tr>
        <w:tc>
          <w:tcPr>
            <w:tcW w:type="dxa" w:w="1800"/>
            <w:shd w:fill="EAF1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28 sep–2 oct</w:t>
            </w:r>
          </w:p>
        </w:tc>
        <w:tc>
          <w:tcPr>
            <w:tcW w:type="dxa" w:w="75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KPIs calculados (riesgo financiero, exposición, comportamiento transaccional).</w:t>
            </w:r>
          </w:p>
        </w:tc>
      </w:tr>
      <w:tr>
        <w:tc>
          <w:tcPr>
            <w:tcW w:type="dxa" w:w="1800"/>
            <w:shd w:fill="EAF1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5–9 oct</w:t>
            </w:r>
          </w:p>
        </w:tc>
        <w:tc>
          <w:tcPr>
            <w:tcW w:type="dxa" w:w="75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Dashboard ejecutivo v1.</w:t>
            </w:r>
          </w:p>
        </w:tc>
      </w:tr>
    </w:tbl>
    <w:p>
      <w:pPr>
        <w:pStyle w:val="Heading2"/>
        <w:spacing w:after="120" w:before="300"/>
      </w:pPr>
      <w:r>
        <w:rPr>
          <w:b/>
          <w:bCs/>
          <w:color w:val="1F3864"/>
          <w:sz w:val="26"/>
          <w:szCs w:val="26"/>
        </w:rPr>
        <w:t xml:space="preserve">Fase 5 — Inteligencia Artificial y Simulación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50"/>
      </w:tblGrid>
      <w:tr>
        <w:tc>
          <w:tcPr>
            <w:tcW w:type="dxa" w:w="1800"/>
            <w:shd w:fill="EAF1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12–16 oct</w:t>
            </w:r>
          </w:p>
        </w:tc>
        <w:tc>
          <w:tcPr>
            <w:tcW w:type="dxa" w:w="75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Dataset preparado para modelos.</w:t>
            </w:r>
          </w:p>
        </w:tc>
      </w:tr>
      <w:tr>
        <w:tc>
          <w:tcPr>
            <w:tcW w:type="dxa" w:w="1800"/>
            <w:shd w:fill="EAF1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19–23 oct</w:t>
            </w:r>
          </w:p>
        </w:tc>
        <w:tc>
          <w:tcPr>
            <w:tcW w:type="dxa" w:w="75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Modelo ML funcional (riesgo crediticio).</w:t>
            </w:r>
          </w:p>
        </w:tc>
      </w:tr>
      <w:tr>
        <w:tc>
          <w:tcPr>
            <w:tcW w:type="dxa" w:w="1800"/>
            <w:shd w:fill="EAF1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26–30 oct</w:t>
            </w:r>
          </w:p>
        </w:tc>
        <w:tc>
          <w:tcPr>
            <w:tcW w:type="dxa" w:w="75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Simulador de escenarios (Monte Carlo).</w:t>
            </w:r>
          </w:p>
        </w:tc>
      </w:tr>
      <w:tr>
        <w:tc>
          <w:tcPr>
            <w:tcW w:type="dxa" w:w="1800"/>
            <w:shd w:fill="EAF1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2–6 nov</w:t>
            </w:r>
          </w:p>
        </w:tc>
        <w:tc>
          <w:tcPr>
            <w:tcW w:type="dxa" w:w="75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Prototipo de asistente financiero (IA).</w:t>
            </w:r>
          </w:p>
        </w:tc>
      </w:tr>
    </w:tbl>
    <w:p>
      <w:pPr>
        <w:pStyle w:val="Heading2"/>
        <w:spacing w:after="120" w:before="300"/>
      </w:pPr>
      <w:r>
        <w:rPr>
          <w:b/>
          <w:bCs/>
          <w:color w:val="1F3864"/>
          <w:sz w:val="26"/>
          <w:szCs w:val="26"/>
        </w:rPr>
        <w:t xml:space="preserve">Fase 6 — Observabilidad y Hardening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50"/>
      </w:tblGrid>
      <w:tr>
        <w:tc>
          <w:tcPr>
            <w:tcW w:type="dxa" w:w="1800"/>
            <w:shd w:fill="EAF1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9–13 nov</w:t>
            </w:r>
          </w:p>
        </w:tc>
        <w:tc>
          <w:tcPr>
            <w:tcW w:type="dxa" w:w="75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Dashboard de monitoreo.</w:t>
            </w:r>
          </w:p>
        </w:tc>
      </w:tr>
      <w:tr>
        <w:tc>
          <w:tcPr>
            <w:tcW w:type="dxa" w:w="1800"/>
            <w:shd w:fill="EAF1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9–13 nov</w:t>
            </w:r>
          </w:p>
        </w:tc>
        <w:tc>
          <w:tcPr>
            <w:tcW w:type="dxa" w:w="75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Plataforma estable.</w:t>
            </w:r>
          </w:p>
        </w:tc>
      </w:tr>
    </w:tbl>
    <w:p>
      <w:pPr>
        <w:pStyle w:val="Heading2"/>
        <w:spacing w:after="120" w:before="300"/>
      </w:pPr>
      <w:r>
        <w:rPr>
          <w:b/>
          <w:bCs/>
          <w:color w:val="1F3864"/>
          <w:sz w:val="26"/>
          <w:szCs w:val="26"/>
        </w:rPr>
        <w:t xml:space="preserve">Fase 7 — Cierre Ejecutivo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50"/>
      </w:tblGrid>
      <w:tr>
        <w:tc>
          <w:tcPr>
            <w:tcW w:type="dxa" w:w="1800"/>
            <w:shd w:fill="EAF1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23–27 nov</w:t>
            </w:r>
          </w:p>
        </w:tc>
        <w:tc>
          <w:tcPr>
            <w:tcW w:type="dxa" w:w="75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Presentación ejecutiva.</w:t>
            </w:r>
          </w:p>
        </w:tc>
      </w:tr>
      <w:tr>
        <w:tc>
          <w:tcPr>
            <w:tcW w:type="dxa" w:w="1800"/>
            <w:shd w:fill="EAF1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27 nov (entrega)</w:t>
            </w:r>
          </w:p>
        </w:tc>
        <w:tc>
          <w:tcPr>
            <w:tcW w:type="dxa" w:w="75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Demo integral, documentación final, repositorio completo.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2026-08-28T18:02:41.322Z</dcterms:created>
  <dcterms:modified xsi:type="dcterms:W3CDTF">2026-08-28T18:02:41.340Z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