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sz w:val="38"/>
          <w:szCs w:val="38"/>
        </w:rPr>
        <w:t xml:space="preserve">Custody</w:t>
      </w:r>
    </w:p>
    <w:p>
      <w:pPr>
        <w:spacing w:after="60"/>
      </w:pPr>
      <w:r>
        <w:rPr>
          <w:rFonts w:ascii="Times New Roman" w:cs="Times New Roman" w:eastAsia="Times New Roman" w:hAnsi="Times New Roman"/>
          <w:sz w:val="22"/>
          <w:szCs w:val="22"/>
        </w:rPr>
        <w:t xml:space="preserve">Proving digital evidence has not been changed</w:t>
      </w:r>
    </w:p>
    <w:p>
      <w:pPr>
        <w:spacing w:after="120"/>
      </w:pPr>
      <w:r>
        <w:rPr>
          <w:rFonts w:ascii="Times New Roman" w:cs="Times New Roman" w:eastAsia="Times New Roman" w:hAnsi="Times New Roman"/>
          <w:color w:val="5A5A52"/>
          <w:sz w:val="18"/>
          <w:szCs w:val="18"/>
        </w:rPr>
        <w:t xml:space="preserve">Technical write-up.  Team Captain.  ICSC 2026 Universities Hackathon, Track H.</w:t>
      </w:r>
    </w:p>
    <w:p>
      <w:pPr>
        <w:pBdr>
          <w:bottom w:val="single" w:color="C9C9BF" w:sz="6" w:space="6"/>
        </w:pBdr>
        <w:spacing w:after="200"/>
      </w:pPr>
    </w:p>
    <w:p>
      <w:pPr>
        <w:pStyle w:val="Heading1"/>
        <w:spacing w:after="140" w:before="280"/>
      </w:pPr>
      <w:r>
        <w:rPr>
          <w:rFonts w:ascii="Times New Roman" w:cs="Times New Roman" w:eastAsia="Times New Roman" w:hAnsi="Times New Roman"/>
          <w:b/>
          <w:bCs/>
          <w:color w:val="16160F"/>
          <w:sz w:val="24"/>
          <w:szCs w:val="24"/>
        </w:rPr>
        <w:t xml:space="preserve">1.  Overview</w:t>
      </w:r>
    </w:p>
    <w:p>
      <w:pPr>
        <w:spacing w:after="120" w:line="260"/>
        <w:jc w:val="both"/>
      </w:pPr>
      <w:r>
        <w:rPr>
          <w:rFonts w:ascii="Times New Roman" w:cs="Times New Roman" w:eastAsia="Times New Roman" w:hAnsi="Times New Roman"/>
          <w:sz w:val="20"/>
          <w:szCs w:val="20"/>
        </w:rPr>
        <w:t xml:space="preserve">Custody is a chain of custody system for digital evidence. It records a cryptographic fingerprint of an evidence file at the point of collection, maintains an append only log of every subsequent transfer, and verifies on demand whether the file or its handling record has changed. Verification results are presented as a single page report intended for a reader without a technical background.</w:t>
      </w:r>
    </w:p>
    <w:p>
      <w:pPr>
        <w:spacing w:after="120" w:line="260"/>
        <w:jc w:val="both"/>
      </w:pPr>
      <w:r>
        <w:rPr>
          <w:rFonts w:ascii="Times New Roman" w:cs="Times New Roman" w:eastAsia="Times New Roman" w:hAnsi="Times New Roman"/>
          <w:sz w:val="20"/>
          <w:szCs w:val="20"/>
        </w:rPr>
        <w:t xml:space="preserve">The system operates without network access during collection, runs on a single machine, and uses only open source components. It comprises three deployable units.</w:t>
      </w:r>
    </w:p>
    <w:tbl>
      <w:tblPr>
        <w:tblW w:type="dxa" w:w="9026"/>
        <w:tblBorders>
          <w:top w:val="none"/>
          <w:left w:val="none"/>
          <w:bottom w:val="none"/>
          <w:right w:val="none"/>
          <w:insideH w:val="none"/>
          <w:insideV w:val="none"/>
        </w:tblBorders>
      </w:tblPr>
      <w:tblGrid>
        <w:gridCol w:w="2600"/>
        <w:gridCol w:w="6426"/>
      </w:tblGrid>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Field application</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React Native and Expo SDK 57. Collection, on device chunked hashing, a local SQLite queue and deferred synchronisation.</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Backend service</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Express 5 and PostgreSQL 16. Custody chain storage, verification, and report generation.</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Dashboard</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Next.js 15 and TypeScript. Case and item views, custody timeline, chunk map and verification controls.</w:t>
            </w:r>
          </w:p>
        </w:tc>
      </w:tr>
    </w:tbl>
    <w:p>
      <w:pPr>
        <w:spacing w:after="100"/>
      </w:pPr>
    </w:p>
    <w:p>
      <w:pPr>
        <w:spacing w:after="120" w:line="260"/>
        <w:jc w:val="both"/>
      </w:pPr>
      <w:r>
        <w:rPr>
          <w:rFonts w:ascii="Times New Roman" w:cs="Times New Roman" w:eastAsia="Times New Roman" w:hAnsi="Times New Roman"/>
          <w:sz w:val="20"/>
          <w:szCs w:val="20"/>
        </w:rPr>
        <w:t xml:space="preserve">The three units are deployable together on a single machine, where the field application reaches the service over the local network and the service binds to all interfaces to permit this. The same code runs hosted: the service and its database on a managed platform, the dashboard on a static host, with the field application configured at build time to address the deployed service. Neither arrangement changes the integrity model, because the device records the fingerprint before any network operation occurs.</w:t>
      </w:r>
    </w:p>
    <w:p>
      <w:pPr>
        <w:pStyle w:val="Heading1"/>
        <w:spacing w:after="140" w:before="280"/>
      </w:pPr>
      <w:r>
        <w:rPr>
          <w:rFonts w:ascii="Times New Roman" w:cs="Times New Roman" w:eastAsia="Times New Roman" w:hAnsi="Times New Roman"/>
          <w:b/>
          <w:bCs/>
          <w:color w:val="16160F"/>
          <w:sz w:val="24"/>
          <w:szCs w:val="24"/>
        </w:rPr>
        <w:t xml:space="preserve">2.  Integrity model</w:t>
      </w:r>
    </w:p>
    <w:p>
      <w:pPr>
        <w:spacing w:after="120" w:line="260"/>
        <w:jc w:val="both"/>
      </w:pPr>
      <w:r>
        <w:rPr>
          <w:rFonts w:ascii="Times New Roman" w:cs="Times New Roman" w:eastAsia="Times New Roman" w:hAnsi="Times New Roman"/>
          <w:sz w:val="20"/>
          <w:szCs w:val="20"/>
        </w:rPr>
        <w:t xml:space="preserve">Two properties are verified independently: whether the evidence file matches the fingerprint recorded at collection, and whether the custody record itself has been modified. The two are reported as separate results throughout the system.</w:t>
      </w:r>
    </w:p>
    <w:tbl>
      <w:tblPr>
        <w:tblW w:type="dxa" w:w="9026"/>
        <w:tblBorders>
          <w:top w:val="none"/>
          <w:left w:val="none"/>
          <w:bottom w:val="none"/>
          <w:right w:val="none"/>
          <w:insideH w:val="none"/>
          <w:insideV w:val="none"/>
        </w:tblBorders>
      </w:tblPr>
      <w:tblGrid>
        <w:gridCol w:w="2600"/>
        <w:gridCol w:w="6426"/>
      </w:tblGrid>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File integrity</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A SHA-256 Merkle root computed over the file contents at collection, recomputed from storage on each verification and compared.</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Item chain</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Each custody event stores the SHA-256 hash of the preceding event. Modifying an event invalidates all subsequent hashes; verification reports the sequence number of the first failure.</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Case chain</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One event per item creation, holding the item reference as text rather than as a foreign key. Deleting an item therefore leaves the creation record intact and the absence detectable.</w:t>
            </w:r>
          </w:p>
        </w:tc>
      </w:tr>
    </w:tbl>
    <w:p>
      <w:pPr>
        <w:spacing w:after="100"/>
      </w:pPr>
    </w:p>
    <w:p>
      <w:pPr>
        <w:spacing w:after="120" w:line="260"/>
        <w:jc w:val="both"/>
      </w:pPr>
      <w:r>
        <w:rPr>
          <w:rFonts w:ascii="Times New Roman" w:cs="Times New Roman" w:eastAsia="Times New Roman" w:hAnsi="Times New Roman"/>
          <w:sz w:val="20"/>
          <w:szCs w:val="20"/>
        </w:rPr>
        <w:t xml:space="preserve">Event hashes are computed over a fixed field order and separator:</w:t>
      </w:r>
    </w:p>
    <w:p>
      <w:pPr>
        <w:spacing w:after="0" w:line="240"/>
        <w:ind w:left="200"/>
        <w:jc w:val="left"/>
      </w:pPr>
      <w:r>
        <w:rPr>
          <w:rFonts w:ascii="Courier New" w:cs="Courier New" w:eastAsia="Courier New" w:hAnsi="Courier New"/>
          <w:color w:val="2A2A24"/>
          <w:sz w:val="17"/>
          <w:szCs w:val="17"/>
        </w:rPr>
        <w:t xml:space="preserve">eventHash      = sha256( prevHash | itemId | actorId | action | deviceTime | fileHash )</w:t>
      </w:r>
    </w:p>
    <w:p>
      <w:pPr>
        <w:spacing w:after="140" w:line="240"/>
        <w:ind w:left="200"/>
        <w:jc w:val="left"/>
      </w:pPr>
      <w:r>
        <w:rPr>
          <w:rFonts w:ascii="Courier New" w:cs="Courier New" w:eastAsia="Courier New" w:hAnsi="Courier New"/>
          <w:color w:val="2A2A24"/>
          <w:sz w:val="17"/>
          <w:szCs w:val="17"/>
        </w:rPr>
        <w:t xml:space="preserve">caseEventHash  = sha256( prevHash | caseId | action | itemRef | itemRootHash | deviceTime )</w:t>
      </w:r>
    </w:p>
    <w:p>
      <w:pPr>
        <w:spacing w:after="120" w:line="260"/>
        <w:jc w:val="both"/>
      </w:pPr>
      <w:r>
        <w:rPr>
          <w:rFonts w:ascii="Times New Roman" w:cs="Times New Roman" w:eastAsia="Times New Roman" w:hAnsi="Times New Roman"/>
          <w:sz w:val="20"/>
          <w:szCs w:val="20"/>
        </w:rPr>
        <w:t xml:space="preserve">Verification recomputes every hash from the stored field values of each event. Stored hash values are compared against the recomputed result and are not used as inputs. Three conditions are evaluated at each position: the recomputed hash matches the stored hash, the stored predecessor hash matches the preceding event's hash, and the fingerprint the event records matches the fingerprint currently held against the item. The first position at which any condition fails is returned with a reason code, which the dashboard uses to render the break at the corresponding entry.</w:t>
      </w:r>
    </w:p>
    <w:p>
      <w:pPr>
        <w:spacing w:after="120" w:line="260"/>
        <w:jc w:val="both"/>
      </w:pPr>
      <w:r>
        <w:rPr>
          <w:rFonts w:ascii="Times New Roman" w:cs="Times New Roman" w:eastAsia="Times New Roman" w:hAnsi="Times New Roman"/>
          <w:sz w:val="20"/>
          <w:szCs w:val="20"/>
        </w:rPr>
        <w:t xml:space="preserve">Custody events are append only. UPDATE and DELETE on the events table are rejected by a database trigger rather than by application logic, so the constraint also applies to direct database connections. Corrections are recorded as additional events referencing the corrected event.</w:t>
      </w:r>
    </w:p>
    <w:p>
      <w:pPr>
        <w:spacing w:after="120" w:line="260"/>
        <w:jc w:val="both"/>
      </w:pPr>
      <w:r>
        <w:rPr>
          <w:rFonts w:ascii="Times New Roman" w:cs="Times New Roman" w:eastAsia="Times New Roman" w:hAnsi="Times New Roman"/>
          <w:sz w:val="20"/>
          <w:szCs w:val="20"/>
        </w:rPr>
        <w:t xml:space="preserve">The third condition exists because that protection is not uniform. The events table cannot be modified, but the items table can, and it holds the fingerprint against which a file is checked. Altering a file and updating the stored fingerprint to match would otherwise verify as intact. Every event carries the fingerprint the item held when the event was appended, so the protected table witnesses the unprotected one: a fingerprint edited after collection contradicts the events, and bringing the events into agreement requires modifications the trigger rejects.</w:t>
      </w:r>
    </w:p>
    <w:p>
      <w:pPr>
        <w:pStyle w:val="Heading1"/>
        <w:spacing w:after="140" w:before="280"/>
      </w:pPr>
      <w:r>
        <w:rPr>
          <w:rFonts w:ascii="Times New Roman" w:cs="Times New Roman" w:eastAsia="Times New Roman" w:hAnsi="Times New Roman"/>
          <w:b/>
          <w:bCs/>
          <w:color w:val="16160F"/>
          <w:sz w:val="24"/>
          <w:szCs w:val="24"/>
        </w:rPr>
        <w:t xml:space="preserve">3.  Chunked hashing</w:t>
      </w:r>
    </w:p>
    <w:p>
      <w:pPr>
        <w:spacing w:after="120" w:line="260"/>
        <w:jc w:val="both"/>
      </w:pPr>
      <w:r>
        <w:rPr>
          <w:rFonts w:ascii="Times New Roman" w:cs="Times New Roman" w:eastAsia="Times New Roman" w:hAnsi="Times New Roman"/>
          <w:sz w:val="20"/>
          <w:szCs w:val="20"/>
        </w:rPr>
        <w:t xml:space="preserve">Files are processed in fixed 4 MB chunks. Each chunk is hashed independently and a binary Merkle tree is constructed over the ordered chunk hashes, with unpaired nodes promoted unchanged to the next level. The tree root is stored as the item fingerprint and the ordered chunk hashes are retained alongside it. The design yields three properties.</w:t>
      </w:r>
    </w:p>
    <w:p>
      <w:pPr>
        <w:pStyle w:val="ListParagraph"/>
        <w:numPr>
          <w:ilvl w:val="0"/>
          <w:numId w:val="2"/>
        </w:numPr>
        <w:spacing w:after="80" w:line="260"/>
        <w:jc w:val="both"/>
      </w:pPr>
      <w:r>
        <w:rPr>
          <w:rFonts w:ascii="Times New Roman" w:cs="Times New Roman" w:eastAsia="Times New Roman" w:hAnsi="Times New Roman"/>
          <w:sz w:val="20"/>
          <w:szCs w:val="20"/>
        </w:rPr>
        <w:t xml:space="preserve">Constant memory. The complete file is never resident. Measured peak heap growth while hashing a 30 MB input was below 1 MB.</w:t>
      </w:r>
    </w:p>
    <w:p>
      <w:pPr>
        <w:pStyle w:val="ListParagraph"/>
        <w:numPr>
          <w:ilvl w:val="0"/>
          <w:numId w:val="2"/>
        </w:numPr>
        <w:spacing w:after="80" w:line="260"/>
        <w:jc w:val="both"/>
      </w:pPr>
      <w:r>
        <w:rPr>
          <w:rFonts w:ascii="Times New Roman" w:cs="Times New Roman" w:eastAsia="Times New Roman" w:hAnsi="Times New Roman"/>
          <w:sz w:val="20"/>
          <w:szCs w:val="20"/>
        </w:rPr>
        <w:t xml:space="preserve">Change localisation. A single byte modification at offset 21,000,000 of a 30 MB file resolves to chunk 6 of 8, byte range 20,971,520 to 25,165,823. Verification returns the affected chunk indices and the corresponding byte range rather than a boolean result.</w:t>
      </w:r>
    </w:p>
    <w:p>
      <w:pPr>
        <w:pStyle w:val="ListParagraph"/>
        <w:numPr>
          <w:ilvl w:val="0"/>
          <w:numId w:val="2"/>
        </w:numPr>
        <w:spacing w:after="80" w:line="260"/>
        <w:jc w:val="both"/>
      </w:pPr>
      <w:r>
        <w:rPr>
          <w:rFonts w:ascii="Times New Roman" w:cs="Times New Roman" w:eastAsia="Times New Roman" w:hAnsi="Times New Roman"/>
          <w:sz w:val="20"/>
          <w:szCs w:val="20"/>
        </w:rPr>
        <w:t xml:space="preserve">Resumability. Chunk hashes are independent, so verification of a partially processed file can be resumed.</w:t>
      </w:r>
    </w:p>
    <w:p>
      <w:pPr>
        <w:spacing w:after="120" w:line="260"/>
        <w:jc w:val="both"/>
      </w:pPr>
      <w:r>
        <w:rPr>
          <w:rFonts w:ascii="Times New Roman" w:cs="Times New Roman" w:eastAsia="Times New Roman" w:hAnsi="Times New Roman"/>
          <w:sz w:val="20"/>
          <w:szCs w:val="20"/>
        </w:rPr>
        <w:t xml:space="preserve">Testing was performed at 30 MB. Behaviour at larger sizes is inferred from the memory profile rather than measured; a 100 GB input was not processed.</w:t>
      </w:r>
    </w:p>
    <w:p>
      <w:pPr>
        <w:spacing w:after="120" w:line="260"/>
        <w:jc w:val="both"/>
      </w:pPr>
      <w:r>
        <w:rPr>
          <w:rFonts w:ascii="Times New Roman" w:cs="Times New Roman" w:eastAsia="Times New Roman" w:hAnsi="Times New Roman"/>
          <w:sz w:val="20"/>
          <w:szCs w:val="20"/>
        </w:rPr>
        <w:t xml:space="preserve">The field application and the backend implement the same scheme and must produce identical output. Two rules define the format: a chunk hash is SHA-256 over the raw chunk bytes, and every other hash is SHA-256 over a UTF-8 string of hexadecimal digits. On device, chunks are read through a seekable file handle; on the server, through a read stream with the running hash carried across buffer boundaries. Equivalence is asserted by a dedicated test suite.</w:t>
      </w:r>
    </w:p>
    <w:p>
      <w:pPr>
        <w:pStyle w:val="Heading1"/>
        <w:spacing w:after="140" w:before="280"/>
      </w:pPr>
      <w:r>
        <w:rPr>
          <w:rFonts w:ascii="Times New Roman" w:cs="Times New Roman" w:eastAsia="Times New Roman" w:hAnsi="Times New Roman"/>
          <w:b/>
          <w:bCs/>
          <w:color w:val="16160F"/>
          <w:sz w:val="24"/>
          <w:szCs w:val="24"/>
        </w:rPr>
        <w:t xml:space="preserve">4.  Collection and synchronisation</w:t>
      </w:r>
    </w:p>
    <w:p>
      <w:pPr>
        <w:spacing w:after="120" w:line="260"/>
        <w:jc w:val="both"/>
      </w:pPr>
      <w:r>
        <w:rPr>
          <w:rFonts w:ascii="Times New Roman" w:cs="Times New Roman" w:eastAsia="Times New Roman" w:hAnsi="Times New Roman"/>
          <w:sz w:val="20"/>
          <w:szCs w:val="20"/>
        </w:rPr>
        <w:t xml:space="preserve">Collection executes entirely on the device: the file is hashed, the record is written to local SQLite storage, and a collection event is queued. No network operation occurs in this path. Synchronisation runs separately, is batched, and resumes automatically when the service becomes reachable.</w:t>
      </w:r>
    </w:p>
    <w:p>
      <w:pPr>
        <w:spacing w:after="120" w:line="260"/>
        <w:jc w:val="both"/>
      </w:pPr>
      <w:r>
        <w:rPr>
          <w:rFonts w:ascii="Times New Roman" w:cs="Times New Roman" w:eastAsia="Times New Roman" w:hAnsi="Times New Roman"/>
          <w:sz w:val="20"/>
          <w:szCs w:val="20"/>
        </w:rPr>
        <w:t xml:space="preserve">Evidence files are not transmitted. The client sends the Merkle root, the ordered chunk hashes, file size, collector identity and timestamps. This removes any dependency on request size limits and reflects the separation between an exhibit and its documentation.</w:t>
      </w:r>
    </w:p>
    <w:p>
      <w:pPr>
        <w:spacing w:after="120" w:line="260"/>
        <w:jc w:val="both"/>
      </w:pPr>
      <w:r>
        <w:rPr>
          <w:rFonts w:ascii="Times New Roman" w:cs="Times New Roman" w:eastAsia="Times New Roman" w:hAnsi="Times New Roman"/>
          <w:sz w:val="20"/>
          <w:szCs w:val="20"/>
        </w:rPr>
        <w:t xml:space="preserve">Two timestamps are recorded for each item: the device clock at collection and the server clock at receipt. Both are stored and both appear in the report, including the interval between them. Device clocks are not independently verifiable and are not presented as authoritative.</w:t>
      </w:r>
    </w:p>
    <w:p>
      <w:pPr>
        <w:spacing w:after="120" w:line="260"/>
        <w:jc w:val="both"/>
      </w:pPr>
      <w:r>
        <w:rPr>
          <w:rFonts w:ascii="Times New Roman" w:cs="Times New Roman" w:eastAsia="Times New Roman" w:hAnsi="Times New Roman"/>
          <w:sz w:val="20"/>
          <w:szCs w:val="20"/>
        </w:rPr>
        <w:t xml:space="preserve">A device cannot determine the storage layout of the evidence store, so a synchronised item carries no storage path until the exhibit is deposited through a separate endpoint, which records the path and appends a custody event. Verification distinguishes four states.</w:t>
      </w:r>
    </w:p>
    <w:tbl>
      <w:tblPr>
        <w:tblW w:type="dxa" w:w="9026"/>
        <w:tblBorders>
          <w:top w:val="none"/>
          <w:left w:val="none"/>
          <w:bottom w:val="none"/>
          <w:right w:val="none"/>
          <w:insideH w:val="none"/>
          <w:insideV w:val="none"/>
        </w:tblBorders>
      </w:tblPr>
      <w:tblGrid>
        <w:gridCol w:w="2600"/>
        <w:gridCol w:w="6426"/>
      </w:tblGrid>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intact</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The stored file matches the fingerprint recorded at collection.</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altered</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It does not. Affected chunk indices and byte range are returned.</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awaiting_file</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Fingerprint recorded, exhibit not yet deposited.</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missing</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The exhibit was deposited and is no longer present in storage.</w:t>
            </w:r>
          </w:p>
        </w:tc>
      </w:tr>
    </w:tbl>
    <w:p>
      <w:pPr>
        <w:spacing w:after="100"/>
      </w:pPr>
    </w:p>
    <w:p>
      <w:pPr>
        <w:pStyle w:val="Heading1"/>
        <w:spacing w:after="140" w:before="280"/>
      </w:pPr>
      <w:r>
        <w:rPr>
          <w:rFonts w:ascii="Times New Roman" w:cs="Times New Roman" w:eastAsia="Times New Roman" w:hAnsi="Times New Roman"/>
          <w:b/>
          <w:bCs/>
          <w:color w:val="16160F"/>
          <w:sz w:val="24"/>
          <w:szCs w:val="24"/>
        </w:rPr>
        <w:t xml:space="preserve">5.  Reporting</w:t>
      </w:r>
    </w:p>
    <w:p>
      <w:pPr>
        <w:spacing w:after="120" w:line="260"/>
        <w:jc w:val="both"/>
      </w:pPr>
      <w:r>
        <w:rPr>
          <w:rFonts w:ascii="Times New Roman" w:cs="Times New Roman" w:eastAsia="Times New Roman" w:hAnsi="Times New Roman"/>
          <w:sz w:val="20"/>
          <w:szCs w:val="20"/>
        </w:rPr>
        <w:t xml:space="preserve">The report is a single page and is generated server side as a PDF. It states whether the item is unchanged, how that was established, who handled it and in what order, and whether the handling record could have been altered. Hash values and technical parameters are confined to an appendix.</w:t>
      </w:r>
    </w:p>
    <w:p>
      <w:pPr>
        <w:spacing w:after="120" w:line="260"/>
        <w:jc w:val="both"/>
      </w:pPr>
      <w:r>
        <w:rPr>
          <w:rFonts w:ascii="Times New Roman" w:cs="Times New Roman" w:eastAsia="Times New Roman" w:hAnsi="Times New Roman"/>
          <w:sz w:val="20"/>
          <w:szCs w:val="20"/>
        </w:rPr>
        <w:t xml:space="preserve">Enumeration values and ISO 8601 timestamps are mapped to natural language before rendering. Automated tests assert that neither form appears in the report or in the dashboard.</w:t>
      </w:r>
    </w:p>
    <w:p>
      <w:pPr>
        <w:pStyle w:val="Heading1"/>
        <w:spacing w:after="140" w:before="280"/>
      </w:pPr>
      <w:r>
        <w:rPr>
          <w:rFonts w:ascii="Times New Roman" w:cs="Times New Roman" w:eastAsia="Times New Roman" w:hAnsi="Times New Roman"/>
          <w:b/>
          <w:bCs/>
          <w:color w:val="16160F"/>
          <w:sz w:val="24"/>
          <w:szCs w:val="24"/>
        </w:rPr>
        <w:t xml:space="preserve">6.  Testing</w:t>
      </w:r>
    </w:p>
    <w:p>
      <w:pPr>
        <w:spacing w:after="120" w:line="260"/>
        <w:jc w:val="both"/>
      </w:pPr>
      <w:r>
        <w:rPr>
          <w:rFonts w:ascii="Times New Roman" w:cs="Times New Roman" w:eastAsia="Times New Roman" w:hAnsi="Times New Roman"/>
          <w:sz w:val="20"/>
          <w:szCs w:val="20"/>
        </w:rPr>
        <w:t xml:space="preserve">246 assertions across seven suites. Assertions cover response field names as well as behaviour, so an interface change between components is detected by the suite rather than at runtime.</w:t>
      </w:r>
    </w:p>
    <w:tbl>
      <w:tblPr>
        <w:tblW w:type="dxa" w:w="9026"/>
        <w:tblBorders>
          <w:top w:val="none"/>
          <w:left w:val="none"/>
          <w:bottom w:val="none"/>
          <w:right w:val="none"/>
          <w:insideH w:val="none"/>
          <w:insideV w:val="none"/>
        </w:tblBorders>
      </w:tblPr>
      <w:tblGrid>
        <w:gridCol w:w="2600"/>
        <w:gridCol w:w="6426"/>
      </w:tblGrid>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Hash parity</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13 assertions. The field application's hashing implementation is reimplemented in Node and compared against the backend across real files and tree widths of 1, 2, 3, 5, 7, 8 and 9 chunks.</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Tampering</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6 assertions over synthetic chains: an unmodified chain, an edited event, a removed event, a fingerprint edited after collection, and the rewrite that would be needed to conceal it.</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API</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104 assertions. All endpoints, response contracts, error handling, malformed input and injection attempts in path parameters.</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Synchronisation</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47 assertions across two suites. Offline collection and deferred sync, one suite importing the field application's own payload construction module and exercising it against the running service.</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Dashboard</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53 assertions against served markup, including the absence of enumeration values and ISO timestamps, and correct rendering of a broken chain.</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Acceptance</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23 assertions. End to end execution including deliberate file and record modification, item deletion, report generation and state reset.</w:t>
            </w:r>
          </w:p>
        </w:tc>
      </w:tr>
    </w:tbl>
    <w:p>
      <w:pPr>
        <w:spacing w:after="100"/>
      </w:pPr>
    </w:p>
    <w:p>
      <w:pPr>
        <w:pStyle w:val="Heading1"/>
        <w:spacing w:after="140" w:before="280"/>
      </w:pPr>
      <w:r>
        <w:rPr>
          <w:rFonts w:ascii="Times New Roman" w:cs="Times New Roman" w:eastAsia="Times New Roman" w:hAnsi="Times New Roman"/>
          <w:b/>
          <w:bCs/>
          <w:color w:val="16160F"/>
          <w:sz w:val="24"/>
          <w:szCs w:val="24"/>
        </w:rPr>
        <w:t xml:space="preserve">7.  Test data</w:t>
      </w:r>
    </w:p>
    <w:p>
      <w:pPr>
        <w:spacing w:after="120" w:line="260"/>
        <w:jc w:val="both"/>
      </w:pPr>
      <w:r>
        <w:rPr>
          <w:rFonts w:ascii="Times New Roman" w:cs="Times New Roman" w:eastAsia="Times New Roman" w:hAnsi="Times New Roman"/>
          <w:sz w:val="20"/>
          <w:szCs w:val="20"/>
        </w:rPr>
        <w:t xml:space="preserve">All data in the system is synthetic and was generated for this project. It contains no real persons, cases, accounts, records or personal data. Names, badge numbers and account numbers are invented. The stand-in for a device extraction is 30 MB of random bytes; the system operates on byte sequences and does not interpret file contents. Provenance is documented in the repository.</w:t>
      </w:r>
    </w:p>
    <w:p>
      <w:pPr>
        <w:pStyle w:val="Heading1"/>
        <w:spacing w:after="140" w:before="280"/>
      </w:pPr>
      <w:r>
        <w:rPr>
          <w:rFonts w:ascii="Times New Roman" w:cs="Times New Roman" w:eastAsia="Times New Roman" w:hAnsi="Times New Roman"/>
          <w:b/>
          <w:bCs/>
          <w:color w:val="16160F"/>
          <w:sz w:val="24"/>
          <w:szCs w:val="24"/>
        </w:rPr>
        <w:t xml:space="preserve">8.  Constraints</w:t>
      </w:r>
    </w:p>
    <w:tbl>
      <w:tblPr>
        <w:tblW w:type="dxa" w:w="9026"/>
        <w:tblBorders>
          <w:top w:val="none"/>
          <w:left w:val="none"/>
          <w:bottom w:val="none"/>
          <w:right w:val="none"/>
          <w:insideH w:val="none"/>
          <w:insideV w:val="none"/>
        </w:tblBorders>
      </w:tblPr>
      <w:tblGrid>
        <w:gridCol w:w="2600"/>
        <w:gridCol w:w="6426"/>
      </w:tblGrid>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Pre-collection tampering</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Modification before the fingerprint is recorded produces a valid chain over altered evidence. The system establishes integrity from collection onward only.</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Device clock</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Offline timestamps originate from the device and may be incorrect. Both clocks are recorded; the device value is not treated as authoritative.</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Scale</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Verified at 30 MB. Larger inputs are inferred from the memory profile.</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Event attribution</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Events are attributed to an authenticated identity, not to a cryptographic key held by an individual. Per officer signing is not implemented.</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File retention</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The system detects modification and deletion. It does not prevent either.</w:t>
            </w:r>
          </w:p>
        </w:tc>
      </w:tr>
      <w:tr>
        <w:tc>
          <w:tcPr>
            <w:tcW w:type="dxa" w:w="2600"/>
            <w:tcMar>
              <w:top w:type="dxa" w:w="40"/>
              <w:bottom w:type="dxa" w:w="80"/>
              <w:right w:type="dxa" w:w="160"/>
            </w:tcMar>
          </w:tcPr>
          <w:p>
            <w:pPr>
              <w:jc w:val="left"/>
            </w:pPr>
            <w:r>
              <w:rPr>
                <w:rFonts w:ascii="Times New Roman" w:cs="Times New Roman" w:eastAsia="Times New Roman" w:hAnsi="Times New Roman"/>
                <w:b/>
                <w:bCs/>
                <w:sz w:val="20"/>
                <w:szCs w:val="20"/>
              </w:rPr>
              <w:t xml:space="preserve">Privileged access</w:t>
            </w:r>
          </w:p>
        </w:tc>
        <w:tc>
          <w:tcPr>
            <w:tcW w:type="dxa" w:w="6426"/>
            <w:tcMar>
              <w:top w:type="dxa" w:w="40"/>
              <w:bottom w:type="dxa" w:w="80"/>
            </w:tcMar>
          </w:tcPr>
          <w:p>
            <w:pPr>
              <w:spacing w:line="260"/>
              <w:jc w:val="both"/>
            </w:pPr>
            <w:r>
              <w:rPr>
                <w:rFonts w:ascii="Times New Roman" w:cs="Times New Roman" w:eastAsia="Times New Roman" w:hAnsi="Times New Roman"/>
                <w:sz w:val="20"/>
                <w:szCs w:val="20"/>
              </w:rPr>
              <w:t xml:space="preserve">Single record edits are detected: the events table is append only and witnesses the item fingerprint, so altering it in isolation is reported. An actor able to drop the trigger and rewrite every table could still reconstruct a consistent chain. Periodic publication of root hashes to an external location would mitigate this and is not implemented.</w:t>
            </w:r>
          </w:p>
        </w:tc>
      </w:tr>
    </w:tbl>
    <w:p>
      <w:pPr>
        <w:spacing w:after="100"/>
      </w:pPr>
    </w:p>
    <w:p>
      <w:pPr>
        <w:spacing w:after="120" w:line="260"/>
        <w:jc w:val="both"/>
      </w:pPr>
      <w:r>
        <w:rPr>
          <w:rFonts w:ascii="Times New Roman" w:cs="Times New Roman" w:eastAsia="Times New Roman" w:hAnsi="Times New Roman"/>
          <w:sz w:val="20"/>
          <w:szCs w:val="20"/>
        </w:rPr>
        <w:t xml:space="preserve">A distributed ledger was considered and rejected. Such systems address the absence of a shared trusted authority between parties. In the target settings that authority exists, and a hash chain with append only storage provides equivalent tamper evidence at lower operational cost.</w:t>
      </w:r>
    </w:p>
    <w:p>
      <w:pPr>
        <w:pStyle w:val="Heading1"/>
        <w:spacing w:after="140" w:before="280"/>
      </w:pPr>
      <w:r>
        <w:rPr>
          <w:rFonts w:ascii="Times New Roman" w:cs="Times New Roman" w:eastAsia="Times New Roman" w:hAnsi="Times New Roman"/>
          <w:b/>
          <w:bCs/>
          <w:color w:val="16160F"/>
          <w:sz w:val="24"/>
          <w:szCs w:val="24"/>
        </w:rPr>
        <w:t xml:space="preserve">9.  Running the system</w:t>
      </w:r>
    </w:p>
    <w:p>
      <w:pPr>
        <w:spacing w:after="0" w:line="240"/>
        <w:ind w:left="200"/>
        <w:jc w:val="left"/>
      </w:pPr>
      <w:r>
        <w:rPr>
          <w:rFonts w:ascii="Courier New" w:cs="Courier New" w:eastAsia="Courier New" w:hAnsi="Courier New"/>
          <w:color w:val="2A2A24"/>
          <w:sz w:val="17"/>
          <w:szCs w:val="17"/>
        </w:rPr>
        <w:t xml:space="preserve">brew services start postgresql@16      # or: sudo service postgresql start</w:t>
      </w:r>
    </w:p>
    <w:p>
      <w:pPr>
        <w:spacing w:after="0" w:line="240"/>
        <w:ind w:left="200"/>
        <w:jc w:val="left"/>
      </w:pPr>
      <w:r>
        <w:rPr>
          <w:rFonts w:ascii="Courier New" w:cs="Courier New" w:eastAsia="Courier New" w:hAnsi="Courier New"/>
          <w:color w:val="2A2A24"/>
          <w:sz w:val="17"/>
          <w:szCs w:val="17"/>
        </w:rPr>
        <w:t xml:space="preserve">cd hackathonBackend &amp;&amp; npm install &amp;&amp; npm run demo:reset &amp;&amp; npm run dev     # API  :4000</w:t>
      </w:r>
    </w:p>
    <w:p>
      <w:pPr>
        <w:spacing w:after="0" w:line="240"/>
        <w:ind w:left="200"/>
        <w:jc w:val="left"/>
      </w:pPr>
      <w:r>
        <w:rPr>
          <w:rFonts w:ascii="Courier New" w:cs="Courier New" w:eastAsia="Courier New" w:hAnsi="Courier New"/>
          <w:color w:val="2A2A24"/>
          <w:sz w:val="17"/>
          <w:szCs w:val="17"/>
        </w:rPr>
        <w:t xml:space="preserve">cd hackathonWebApp  &amp;&amp; npm install &amp;&amp; npm run dev                          # web  :3000</w:t>
      </w:r>
    </w:p>
    <w:p>
      <w:pPr>
        <w:spacing w:after="140" w:line="240"/>
        <w:ind w:left="200"/>
        <w:jc w:val="left"/>
      </w:pPr>
      <w:r>
        <w:rPr>
          <w:rFonts w:ascii="Courier New" w:cs="Courier New" w:eastAsia="Courier New" w:hAnsi="Courier New"/>
          <w:color w:val="2A2A24"/>
          <w:sz w:val="17"/>
          <w:szCs w:val="17"/>
        </w:rPr>
        <w:t xml:space="preserve">npm test &amp;&amp; npm run test:web &amp;&amp; npm run test:acceptance                    # 246 assertions</w:t>
      </w:r>
    </w:p>
    <w:p>
      <w:pPr>
        <w:spacing w:after="120" w:line="260"/>
        <w:jc w:val="both"/>
      </w:pPr>
      <w:r>
        <w:rPr>
          <w:rFonts w:ascii="Times New Roman" w:cs="Times New Roman" w:eastAsia="Times New Roman" w:hAnsi="Times New Roman"/>
          <w:sz w:val="20"/>
          <w:szCs w:val="20"/>
        </w:rPr>
        <w:t xml:space="preserve">Setup instructions, the demonstration procedure and the testing guide are included in the repository as README.md, DEMO.md and TESTING.md.</w:t>
      </w:r>
    </w:p>
    <w:sectPr>
      <w:pgSz w:w="11906" w:h="16838" w:orient="portrait"/>
      <w:pgMar w:top="1160" w:right="1160" w:bottom="116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6160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Custody: technical write-up</dc:title>
  <dc:creator>Team Captain</dc:creator>
  <cp:lastModifiedBy>Un-named</cp:lastModifiedBy>
  <cp:revision>1</cp:revision>
  <dcterms:created xsi:type="dcterms:W3CDTF">2026-09-20T20:00:45.359Z</dcterms:created>
  <dcterms:modified xsi:type="dcterms:W3CDTF">2026-09-20T20:00:45.360Z</dcterms:modified>
</cp:coreProperties>
</file>

<file path=docProps/custom.xml><?xml version="1.0" encoding="utf-8"?>
<Properties xmlns="http://schemas.openxmlformats.org/officeDocument/2006/custom-properties" xmlns:vt="http://schemas.openxmlformats.org/officeDocument/2006/docPropsVTypes"/>
</file>