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color w:val="1F3A5F"/>
          <w:sz w:val="32"/>
          <w:szCs w:val="32"/>
        </w:rPr>
        <w:t xml:space="preserve">SCOPE OF WORK</w:t>
      </w:r>
    </w:p>
    <w:p>
      <w:pPr>
        <w:spacing w:after="160"/>
        <w:jc w:val="center"/>
      </w:pPr>
      <w:r>
        <w:rPr>
          <w:i/>
          <w:iCs/>
          <w:color w:val="2F6F62"/>
          <w:sz w:val="19"/>
          <w:szCs w:val="19"/>
        </w:rPr>
        <w:t xml:space="preserve">ABDM/ABHA Web Application Security Assessment (WASA) &amp; PMJAY Compliance Readiness — Netra HIMS</w:t>
      </w:r>
    </w:p>
    <w:p>
      <w:pPr>
        <w:pStyle w:val="Heading1"/>
        <w:spacing w:after="100" w:before="240"/>
      </w:pPr>
      <w:r>
        <w:t xml:space="preserve">1. Purpose</w:t>
      </w:r>
    </w:p>
    <w:p>
      <w:pPr>
        <w:spacing w:after="100"/>
      </w:pPr>
      <w:r>
        <w:rPr>
          <w:sz w:val="20"/>
          <w:szCs w:val="20"/>
        </w:rPr>
        <w:t xml:space="preserve">Netra HIMS requires integration with the Ayushman Bharat Digital Mission (ABDM/ABHA) APIs and, through that, alignment with Ayushman Bharat PM-JAY (PMJAY) requirements for empanelled-hospital software. This document defines the scope of work for the cybersecurity vendor engaged to carry out the mandatory security audit and certification process gating that integration.</w:t>
      </w:r>
    </w:p>
    <w:p>
      <w:pPr>
        <w:pStyle w:val="Heading1"/>
        <w:spacing w:after="100" w:before="240"/>
      </w:pPr>
      <w:r>
        <w:t xml:space="preserve">2. Background — why this specific audit is required</w:t>
      </w:r>
    </w:p>
    <w:p>
      <w:pPr>
        <w:spacing w:after="100"/>
      </w:pPr>
      <w:r>
        <w:rPr>
          <w:sz w:val="20"/>
          <w:szCs w:val="20"/>
        </w:rPr>
        <w:t xml:space="preserve">This is not a generic penetration test. The National Health Authority (NHA) requires every application integrating with ABDM to pass a Web Application Security Assessment (WASA) — sometimes referred to as the Milestone 1 (M1) security gate — before granting production access to the ABHA/ABDM APIs. Two points are non-negotiable and should be confirmed with the vendor before engagement: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The audit must be conducted by a CERT-In empanelled auditor. Internal security teams, generic penetration-testing firms, and non-empanelled agencies cannot issue a report NHA will accept. Verify the vendor’s empanelment ID directly against the current CERT-In empanelled auditor list before signing.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PMJAY does not require a separate, independent security certification track. Private hospitals empanelled under PMJAY are increasingly required by their State Health Agency to be ABDM-compliant — the same WASA report and Safe-to-Host certificate that unlocks ABDM production access is what satisfies this requirement. Treat this as one certification effort, not two.</w:t>
      </w:r>
    </w:p>
    <w:p>
      <w:pPr>
        <w:spacing w:after="100"/>
      </w:pPr>
      <w:r>
        <w:rPr>
          <w:i/>
          <w:iCs/>
          <w:color w:val="5A5A5A"/>
          <w:sz w:val="18"/>
          <w:szCs w:val="18"/>
        </w:rPr>
        <w:t xml:space="preserve">Because NHA requirements are updated periodically, the engaged vendor should reconfirm current scope requirements against the live ABDM sandbox guidelines at project kickoff, rather than relying solely on this document.</w:t>
      </w:r>
    </w:p>
    <w:p>
      <w:pPr>
        <w:pStyle w:val="Heading1"/>
        <w:spacing w:after="100" w:before="240"/>
      </w:pPr>
      <w:r>
        <w:t xml:space="preserve">3. Scope of Work</w:t>
      </w:r>
    </w:p>
    <w:p>
      <w:pPr>
        <w:pStyle w:val="Heading2"/>
        <w:spacing w:after="80" w:before="160"/>
      </w:pPr>
      <w:r>
        <w:t xml:space="preserve">3.1 Phase 1 — Scoping &amp; Architecture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Review Netra HIMS system architecture, data flows, and all points where the application will integrate with ABDM (patient registration/ABHA linking, consent capture, any record-sharing endpoints).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Map every API endpoint, authentication pathway, and data storage location that touches ABHA-linked patient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Produce a formal Audit Scope Document (ASD) defining exact test boundaries, sign-off required from Genxa before testing begins.</w:t>
      </w:r>
    </w:p>
    <w:p>
      <w:pPr>
        <w:pStyle w:val="Heading2"/>
        <w:spacing w:after="80" w:before="160"/>
      </w:pPr>
      <w:r>
        <w:t xml:space="preserve">3.2 Phase 2 — Functional + Security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ABHA number creation, verification (OTP/Aadhaar-linked flows), and linking journeys.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Consent management and any health-record sharing flows in scope (if pursuing ABDM Milestone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OWASP Top 10 coverage: injection, broken authentication, sensitive data exposure, XML external entities, broken access control, security misconfiguration, XSS, insecure deserialization, vulnerable components, insufficient logging/monitoring.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Authentication and session management: login security, session timeout, token handling, MFA where applicable.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API security testing of all ABDM/FHIR-facing endpoints, including rate limiting and input validation.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Data encryption review: in transit (TLS configuration) and at rest (database/storage encryption).</w:t>
      </w:r>
    </w:p>
    <w:p>
      <w:pPr>
        <w:pStyle w:val="Heading2"/>
        <w:spacing w:after="80" w:before="160"/>
      </w:pPr>
      <w:r>
        <w:t xml:space="preserve">3.3 Phase 3 — Vulnerability Assessment &amp; Penetration Testing (VAPT)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Automated and manual VAPT using industry-standard tooling (e.g. Burp Suite Pro, OWASP ZAP, Nessus, or equivalent).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Infrastructure-level review of hosting configuration (Vercel deployment, Supabase/PostgreSQL configuration, RLS policy verification).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Severity classification of every finding (Critical / High / Medium / Low) with reproduction steps.</w:t>
      </w:r>
    </w:p>
    <w:p>
      <w:pPr>
        <w:pStyle w:val="Heading2"/>
        <w:spacing w:after="80" w:before="160"/>
      </w:pPr>
      <w:r>
        <w:t xml:space="preserve">3.4 Phase 4 — 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Draft WASA Report in NHA-accepted format, covering both functional correctness of ABDM API usage and the security findings above.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Findings walkthrough session with Genxa’s development team.</w:t>
      </w:r>
    </w:p>
    <w:p>
      <w:pPr>
        <w:pStyle w:val="Heading2"/>
        <w:spacing w:after="80" w:before="160"/>
      </w:pPr>
      <w:r>
        <w:t xml:space="preserve">3.5 Phase 5 — Remediation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Genxa’s development team remediates findings; the security vendor provides advisory support on fix approach for Critical/High findings.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Vendor re-tests remediated items specifically (not a full re-audit) to confirm closure.</w:t>
      </w:r>
    </w:p>
    <w:p>
      <w:pPr>
        <w:pStyle w:val="Heading2"/>
        <w:spacing w:after="80" w:before="160"/>
      </w:pPr>
      <w:r>
        <w:t xml:space="preserve">3.6 Phase 6 — Certification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Issue Vulnerability Closure Certificate (VCC) confirming all Critical/High findings are resolved.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Issue final signed WASA Report and Safe-to-Host Certificate.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Support submission of the certification package to NHA.</w:t>
      </w:r>
    </w:p>
    <w:p>
      <w:pPr>
        <w:pStyle w:val="Heading1"/>
        <w:spacing w:after="100" w:before="240"/>
      </w:pPr>
      <w:r>
        <w:t xml:space="preserve">4. Deliverables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6624"/>
      </w:tblGrid>
      <w:tr>
        <w:trPr>
          <w:tblHeader/>
        </w:trPr>
        <w:tc>
          <w:tcPr>
            <w:tcW w:type="dxa" w:w="331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624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Scope Document (ASD)</w:t>
            </w:r>
          </w:p>
        </w:tc>
        <w:tc>
          <w:tcPr>
            <w:tcW w:type="dxa" w:w="6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Defines exact boundaries of the assessment — sign-off required before testing starts</w:t>
            </w:r>
          </w:p>
        </w:tc>
      </w:tr>
      <w:tr>
        <w:tc>
          <w:tcPr>
            <w:tcW w:type="dxa" w:w="3312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VAPT Report</w:t>
            </w:r>
          </w:p>
        </w:tc>
        <w:tc>
          <w:tcPr>
            <w:tcW w:type="dxa" w:w="6624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technical findings with severity ratings and reproduction steps</w:t>
            </w:r>
          </w:p>
        </w:tc>
      </w:tr>
      <w:tr>
        <w:tc>
          <w:tcPr>
            <w:tcW w:type="dxa" w:w="3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WASA Report</w:t>
            </w:r>
          </w:p>
        </w:tc>
        <w:tc>
          <w:tcPr>
            <w:tcW w:type="dxa" w:w="6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NHA-formatted combined functional + security audit report, signed by the CERT-In empanelled auditor</w:t>
            </w:r>
          </w:p>
        </w:tc>
      </w:tr>
      <w:tr>
        <w:tc>
          <w:tcPr>
            <w:tcW w:type="dxa" w:w="3312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Vulnerability Closure Certificate (VCC)</w:t>
            </w:r>
          </w:p>
        </w:tc>
        <w:tc>
          <w:tcPr>
            <w:tcW w:type="dxa" w:w="6624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remediation of Critical/High findings</w:t>
            </w:r>
          </w:p>
        </w:tc>
      </w:tr>
      <w:tr>
        <w:tc>
          <w:tcPr>
            <w:tcW w:type="dxa" w:w="3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Safe-to-Host Certificate</w:t>
            </w:r>
          </w:p>
        </w:tc>
        <w:tc>
          <w:tcPr>
            <w:tcW w:type="dxa" w:w="6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certificate mandatory for ABDM production onboarding</w:t>
            </w:r>
          </w:p>
        </w:tc>
      </w:tr>
      <w:tr>
        <w:tc>
          <w:tcPr>
            <w:tcW w:type="dxa" w:w="3312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Remediation Advisory Notes</w:t>
            </w:r>
          </w:p>
        </w:tc>
        <w:tc>
          <w:tcPr>
            <w:tcW w:type="dxa" w:w="6624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Guidance provided to the dev team for each Critical/High finding</w:t>
            </w:r>
          </w:p>
        </w:tc>
      </w:tr>
    </w:tbl>
    <w:p>
      <w:pPr>
        <w:pStyle w:val="Heading1"/>
        <w:spacing w:after="100" w:before="240"/>
      </w:pPr>
      <w:r>
        <w:t xml:space="preserve">5. Auditor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Must hold current CERT-In empanelment — verify the empanelment ID directly on the official CERT-In website, not just the vendor’s claim.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Prior experience auditing ABDM/ABHA-integrated or healthcare platforms specifically is strongly preferred — ask for reference engagements.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Must be able to produce the report in NHA’s expected submission format.</w:t>
      </w:r>
    </w:p>
    <w:p>
      <w:pPr>
        <w:pStyle w:val="Heading1"/>
        <w:spacing w:after="100" w:before="240"/>
      </w:pPr>
      <w:r>
        <w:t xml:space="preserve">6. Genxa / Client Responsibilities (Prerequisites)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 a stable, feature-complete ABDM sandbox integration build for testing — the audit tests the actual ABHA/ABDM integration, not the wider hospital system in general.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 architecture documentation, API documentation, and a named technical point of contact.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 test/sandbox credentials and a non-production environment — the audit should never run directly against a system holding real patient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Allocate development capacity to remediate findings within the timeline below — delays here are the most common cause of the process running past 3–6 months.</w:t>
      </w:r>
    </w:p>
    <w:p>
      <w:pPr>
        <w:pStyle w:val="Heading1"/>
        <w:spacing w:after="100" w:before="240"/>
      </w:pPr>
      <w:r>
        <w:t xml:space="preserve">7. Out of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Physical/on-premises hospital network security (unless explicitly added).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Social engineering or phishing simulation testing, unless explicitly added.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PMJAY hospital empanelment itself (clinical infrastructure, bed capacity, NABH accreditation) — that is a separate, non-technical process managed directly through the Hospital Empanelment Module on the PMJAY portal.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AI-based clinical features, ABDM Milestone 3 (requesting records as a Health Information User), and any integrations beyond what’s defined in the Phase 1 Audit Scope Document.</w:t>
      </w:r>
    </w:p>
    <w:p>
      <w:pPr>
        <w:pStyle w:val="Heading1"/>
        <w:spacing w:after="100" w:before="240"/>
      </w:pPr>
      <w:r>
        <w:t xml:space="preserve">8. Timeline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2186"/>
        <w:gridCol w:w="4769"/>
      </w:tblGrid>
      <w:tr>
        <w:trPr>
          <w:tblHeader/>
        </w:trPr>
        <w:tc>
          <w:tcPr>
            <w:tcW w:type="dxa" w:w="2981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8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Typical Duration</w:t>
            </w:r>
          </w:p>
        </w:tc>
        <w:tc>
          <w:tcPr>
            <w:tcW w:type="dxa" w:w="476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Scoping &amp; Architecture Review</w:t>
            </w:r>
          </w:p>
        </w:tc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 business days</w:t>
            </w:r>
          </w:p>
        </w:tc>
        <w:tc>
          <w:tcPr>
            <w:tcW w:type="dxa" w:w="4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Cannot start until sandbox build is stable</w:t>
            </w:r>
          </w:p>
        </w:tc>
      </w:tr>
      <w:tr>
        <w:tc>
          <w:tcPr>
            <w:tcW w:type="dxa" w:w="2981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Functional + Security Testing</w:t>
            </w:r>
          </w:p>
        </w:tc>
        <w:tc>
          <w:tcPr>
            <w:tcW w:type="dxa" w:w="2186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4769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against the ABDM sandbox environment</w:t>
            </w:r>
          </w:p>
        </w:tc>
      </w:tr>
      <w:t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VAPT</w:t>
            </w:r>
          </w:p>
        </w:tc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4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 run partially in parallel with Phase 2</w:t>
            </w:r>
          </w:p>
        </w:tc>
      </w:tr>
      <w:tr>
        <w:tc>
          <w:tcPr>
            <w:tcW w:type="dxa" w:w="2981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Reporting</w:t>
            </w:r>
          </w:p>
        </w:tc>
        <w:tc>
          <w:tcPr>
            <w:tcW w:type="dxa" w:w="2186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 business days</w:t>
            </w:r>
          </w:p>
        </w:tc>
        <w:tc>
          <w:tcPr>
            <w:tcW w:type="dxa" w:w="4769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report + findings walkthrough</w:t>
            </w:r>
          </w:p>
        </w:tc>
      </w:tr>
      <w:tr>
        <w:tc>
          <w:tcPr>
            <w:tcW w:type="dxa" w:w="2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Remediation (Genxa)</w:t>
            </w:r>
          </w:p>
        </w:tc>
        <w:tc>
          <w:tcPr>
            <w:tcW w:type="dxa" w:w="2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2–6 weeks</w:t>
            </w:r>
          </w:p>
        </w:tc>
        <w:tc>
          <w:tcPr>
            <w:tcW w:type="dxa" w:w="4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Duration depends entirely on volume/severity of findings — the biggest variable in the overall timeline</w:t>
            </w:r>
          </w:p>
        </w:tc>
      </w:tr>
      <w:tr>
        <w:tc>
          <w:tcPr>
            <w:tcW w:type="dxa" w:w="2981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Re-test &amp; Certification</w:t>
            </w:r>
          </w:p>
        </w:tc>
        <w:tc>
          <w:tcPr>
            <w:tcW w:type="dxa" w:w="2186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4769"/>
            <w:shd w:fill="F2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Re-submission after fixes typically adds 2–4 weeks if issues remain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End-to-end, sandbox-registration-to-production-access typically takes 3–6 months industry-wide. The single biggest lever Genxa has to keep this on the shorter end is remediating findings quickly once Phase 4 completes — the audit itself (Phases 1–4) is usually 4–6 weeks; it’s the remediation-and-retest cycle that most often stretches the timeline.</w:t>
      </w:r>
    </w:p>
    <w:p>
      <w:pPr>
        <w:pStyle w:val="Heading1"/>
        <w:spacing w:after="100" w:before="240"/>
      </w:pPr>
      <w:r>
        <w:t xml:space="preserve">9.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Shortlist 2–3 CERT-In empanelled auditors with healthcare/ABDM experience; verify empanelment directly on the CERT-In 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Share this Scope of Work and request a fixed-fee quote and firm Phase 1–4 timeline from 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Confirm the current ABDM sandbox registration status for Netra HIMS before the audit is scheduled — testing requires an active sandbox integration, not just the production-intent codebase.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Once a vendor is selected, kick off with Phase 1 (Architecture Review) and lock the Audit Scope Document before any testing begins.</w:t>
      </w:r>
    </w:p>
    <w:sectPr>
      <w:headerReference w:type="default" r:id="rId7"/>
      <w:footerReference w:type="default" r:id="rId8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4"/>
        <w:szCs w:val="14"/>
      </w:rPr>
      <w:t xml:space="preserve">Netra HIMS · Prepared by Genxa · Page </w:t>
    </w:r>
    <w:r>
      <w:rPr>
        <w:color w:val="5A5A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</w:pPr>
    <w:r>
      <w:rPr>
        <w:b/>
        <w:bCs/>
        <w:color w:val="1F3A5F"/>
        <w:sz w:val="24"/>
        <w:szCs w:val="24"/>
      </w:rPr>
      <w:t xml:space="preserve">GENXA</w:t>
    </w:r>
    <w:r>
      <w:rPr>
        <w:i/>
        <w:iCs/>
        <w:color w:val="5A5A5A"/>
        <w:sz w:val="15"/>
        <w:szCs w:val="15"/>
      </w:rPr>
      <w:t xml:space="preserve">   Scope of Work — ABDM / ABHA WASA Security Certification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2F6F6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2026-07-26T06:45:26.386Z</dcterms:created>
  <dcterms:modified xsi:type="dcterms:W3CDTF">2026-07-26T06:45:26.406Z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