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2D95" w14:textId="77777777" w:rsidR="00B87DF5" w:rsidRDefault="00B87DF5"/>
    <w:p w14:paraId="0AE6A04C" w14:textId="77777777" w:rsidR="00B87DF5" w:rsidRDefault="00B87DF5"/>
    <w:p w14:paraId="4CA03E0E" w14:textId="77777777" w:rsidR="00B87DF5" w:rsidRDefault="00B87DF5"/>
    <w:p w14:paraId="3A796CA3" w14:textId="77777777" w:rsidR="00B87DF5" w:rsidRDefault="007B1330">
      <w:r>
        <w:rPr>
          <w:b/>
          <w:color w:val="1F4E79"/>
          <w:sz w:val="48"/>
        </w:rPr>
        <w:t>Drift-Aware MLOps Pipeline for EV Charge-Session Energy and Dwell-Time Prediction</w:t>
      </w:r>
    </w:p>
    <w:p w14:paraId="5F4982FA" w14:textId="77777777" w:rsidR="00B87DF5" w:rsidRDefault="007B1330">
      <w:r>
        <w:rPr>
          <w:color w:val="404040"/>
          <w:sz w:val="28"/>
        </w:rPr>
        <w:t>Technical report</w:t>
      </w:r>
    </w:p>
    <w:p w14:paraId="2232A1E4" w14:textId="77777777" w:rsidR="00B87DF5" w:rsidRDefault="00B87DF5"/>
    <w:tbl>
      <w:tblPr>
        <w:tblStyle w:val="TableGrid"/>
        <w:tblW w:w="0" w:type="auto"/>
        <w:jc w:val="center"/>
        <w:tblLook w:val="04A0" w:firstRow="1" w:lastRow="0" w:firstColumn="1" w:lastColumn="0" w:noHBand="0" w:noVBand="1"/>
      </w:tblPr>
      <w:tblGrid>
        <w:gridCol w:w="2551"/>
        <w:gridCol w:w="7087"/>
      </w:tblGrid>
      <w:tr w:rsidR="00B87DF5" w14:paraId="313217C2" w14:textId="77777777">
        <w:trPr>
          <w:jc w:val="center"/>
        </w:trPr>
        <w:tc>
          <w:tcPr>
            <w:tcW w:w="2551" w:type="dxa"/>
            <w:shd w:val="clear" w:color="auto" w:fill="EAF1F8"/>
          </w:tcPr>
          <w:p w14:paraId="0B795EFB" w14:textId="77777777" w:rsidR="00B87DF5" w:rsidRDefault="007B1330">
            <w:pPr>
              <w:keepNext/>
              <w:spacing w:after="0"/>
            </w:pPr>
            <w:r>
              <w:rPr>
                <w:sz w:val="20"/>
              </w:rPr>
              <w:t>Programme</w:t>
            </w:r>
          </w:p>
        </w:tc>
        <w:tc>
          <w:tcPr>
            <w:tcW w:w="7087" w:type="dxa"/>
            <w:shd w:val="clear" w:color="auto" w:fill="EAF1F8"/>
          </w:tcPr>
          <w:p w14:paraId="4A3D6AAC" w14:textId="77777777" w:rsidR="00B87DF5" w:rsidRDefault="007B1330">
            <w:pPr>
              <w:keepNext/>
              <w:spacing w:after="0"/>
            </w:pPr>
            <w:r>
              <w:rPr>
                <w:sz w:val="20"/>
              </w:rPr>
              <w:t>upGrad MLOps, August 2025 batch — Bring Your Own Capstone</w:t>
            </w:r>
          </w:p>
        </w:tc>
      </w:tr>
      <w:tr w:rsidR="00B87DF5" w14:paraId="545992A1" w14:textId="77777777">
        <w:trPr>
          <w:jc w:val="center"/>
        </w:trPr>
        <w:tc>
          <w:tcPr>
            <w:tcW w:w="2551" w:type="dxa"/>
          </w:tcPr>
          <w:p w14:paraId="69C64E0F" w14:textId="77777777" w:rsidR="00B87DF5" w:rsidRDefault="007B1330">
            <w:pPr>
              <w:keepNext/>
              <w:spacing w:after="0"/>
            </w:pPr>
            <w:r>
              <w:rPr>
                <w:sz w:val="20"/>
              </w:rPr>
              <w:t>Author</w:t>
            </w:r>
          </w:p>
        </w:tc>
        <w:tc>
          <w:tcPr>
            <w:tcW w:w="7087" w:type="dxa"/>
          </w:tcPr>
          <w:p w14:paraId="77AD7475" w14:textId="77777777" w:rsidR="00B87DF5" w:rsidRDefault="007B1330">
            <w:pPr>
              <w:keepNext/>
              <w:spacing w:after="0"/>
            </w:pPr>
            <w:r>
              <w:rPr>
                <w:sz w:val="20"/>
              </w:rPr>
              <w:t>Deva Prakash J</w:t>
            </w:r>
          </w:p>
        </w:tc>
      </w:tr>
      <w:tr w:rsidR="00B87DF5" w14:paraId="52936676" w14:textId="77777777">
        <w:trPr>
          <w:jc w:val="center"/>
        </w:trPr>
        <w:tc>
          <w:tcPr>
            <w:tcW w:w="2551" w:type="dxa"/>
            <w:shd w:val="clear" w:color="auto" w:fill="EAF1F8"/>
          </w:tcPr>
          <w:p w14:paraId="0B5B1A82" w14:textId="77777777" w:rsidR="00B87DF5" w:rsidRDefault="007B1330">
            <w:pPr>
              <w:keepNext/>
              <w:spacing w:after="0"/>
            </w:pPr>
            <w:r>
              <w:rPr>
                <w:sz w:val="20"/>
              </w:rPr>
              <w:t>Repository (the submission)</w:t>
            </w:r>
          </w:p>
        </w:tc>
        <w:tc>
          <w:tcPr>
            <w:tcW w:w="7087" w:type="dxa"/>
            <w:shd w:val="clear" w:color="auto" w:fill="EAF1F8"/>
          </w:tcPr>
          <w:p w14:paraId="4114B5E8" w14:textId="77777777" w:rsidR="00B87DF5" w:rsidRDefault="007B1330">
            <w:pPr>
              <w:keepNext/>
              <w:spacing w:after="0"/>
            </w:pPr>
            <w:r>
              <w:rPr>
                <w:sz w:val="20"/>
              </w:rPr>
              <w:t>https://github.com/deva-prakash-j/ev-charge-mlops</w:t>
            </w:r>
          </w:p>
        </w:tc>
      </w:tr>
      <w:tr w:rsidR="00B87DF5" w14:paraId="33220327" w14:textId="77777777">
        <w:trPr>
          <w:jc w:val="center"/>
        </w:trPr>
        <w:tc>
          <w:tcPr>
            <w:tcW w:w="2551" w:type="dxa"/>
          </w:tcPr>
          <w:p w14:paraId="7BCEAD42" w14:textId="77777777" w:rsidR="00B87DF5" w:rsidRDefault="007B1330">
            <w:pPr>
              <w:keepNext/>
              <w:spacing w:after="0"/>
            </w:pPr>
            <w:r>
              <w:rPr>
                <w:sz w:val="20"/>
              </w:rPr>
              <w:t>Dataset</w:t>
            </w:r>
          </w:p>
        </w:tc>
        <w:tc>
          <w:tcPr>
            <w:tcW w:w="7087" w:type="dxa"/>
          </w:tcPr>
          <w:p w14:paraId="42D9A880" w14:textId="77777777" w:rsidR="00B87DF5" w:rsidRDefault="007B1330">
            <w:pPr>
              <w:keepNext/>
              <w:spacing w:after="0"/>
            </w:pPr>
            <w:r>
              <w:rPr>
                <w:sz w:val="20"/>
              </w:rPr>
              <w:t>ACN-Data (Caltech / PowerFlex): 66,745 real charging sessions, 3 sites, Apr 2018 – Sep 2021</w:t>
            </w:r>
          </w:p>
        </w:tc>
      </w:tr>
      <w:tr w:rsidR="00B87DF5" w14:paraId="39D9619D" w14:textId="77777777">
        <w:trPr>
          <w:jc w:val="center"/>
        </w:trPr>
        <w:tc>
          <w:tcPr>
            <w:tcW w:w="2551" w:type="dxa"/>
            <w:shd w:val="clear" w:color="auto" w:fill="EAF1F8"/>
          </w:tcPr>
          <w:p w14:paraId="3ADFC20A" w14:textId="77777777" w:rsidR="00B87DF5" w:rsidRDefault="007B1330">
            <w:pPr>
              <w:spacing w:after="0"/>
            </w:pPr>
            <w:r>
              <w:rPr>
                <w:sz w:val="20"/>
              </w:rPr>
              <w:t>Report date</w:t>
            </w:r>
          </w:p>
        </w:tc>
        <w:tc>
          <w:tcPr>
            <w:tcW w:w="7087" w:type="dxa"/>
            <w:shd w:val="clear" w:color="auto" w:fill="EAF1F8"/>
          </w:tcPr>
          <w:p w14:paraId="3523CF6D" w14:textId="77777777" w:rsidR="00B87DF5" w:rsidRDefault="007B1330">
            <w:pPr>
              <w:spacing w:after="0"/>
            </w:pPr>
            <w:r>
              <w:rPr>
                <w:sz w:val="20"/>
              </w:rPr>
              <w:t>20 October 2026</w:t>
            </w:r>
          </w:p>
        </w:tc>
      </w:tr>
    </w:tbl>
    <w:p w14:paraId="638295C8" w14:textId="77777777" w:rsidR="00B87DF5" w:rsidRDefault="00B87DF5">
      <w:pPr>
        <w:spacing w:after="40"/>
      </w:pPr>
    </w:p>
    <w:p w14:paraId="23B8FA04" w14:textId="77777777" w:rsidR="00B87DF5" w:rsidRDefault="007B1330">
      <w:r>
        <w:rPr>
          <w:i/>
          <w:sz w:val="18"/>
        </w:rPr>
        <w:t>All figures and tables in this report are aggregate metrics computed on the licensed extract. No licensed session records are reproduced here or committed to the repository.</w:t>
      </w:r>
    </w:p>
    <w:p w14:paraId="0A5C3590" w14:textId="77777777" w:rsidR="00B87DF5" w:rsidRDefault="00B87DF5"/>
    <w:p w14:paraId="0E7F7B14" w14:textId="77777777" w:rsidR="00B87DF5" w:rsidRDefault="007B1330">
      <w:r>
        <w:rPr>
          <w:b/>
          <w:color w:val="1F4E79"/>
          <w:sz w:val="24"/>
        </w:rPr>
        <w:t>Contents</w:t>
      </w:r>
    </w:p>
    <w:p w14:paraId="032ACF6F" w14:textId="136EF8CF" w:rsidR="00E005C0" w:rsidRDefault="007B1330">
      <w:pPr>
        <w:pStyle w:val="TOC1"/>
        <w:tabs>
          <w:tab w:val="right" w:leader="dot" w:pos="9628"/>
        </w:tabs>
        <w:rPr>
          <w:noProof/>
        </w:rPr>
      </w:pPr>
      <w:r>
        <w:fldChar w:fldCharType="begin"/>
      </w:r>
      <w:r>
        <w:instrText>TOC \o "1-1" \h \z \u</w:instrText>
      </w:r>
      <w:r>
        <w:fldChar w:fldCharType="separate"/>
      </w:r>
      <w:hyperlink w:anchor="_Toc243413793" w:history="1">
        <w:r w:rsidR="00E005C0" w:rsidRPr="00CE5C9D">
          <w:rPr>
            <w:rStyle w:val="Hyperlink"/>
            <w:noProof/>
          </w:rPr>
          <w:t>1. Executive Summary</w:t>
        </w:r>
        <w:r w:rsidR="00E005C0">
          <w:rPr>
            <w:noProof/>
            <w:webHidden/>
          </w:rPr>
          <w:tab/>
        </w:r>
        <w:r w:rsidR="00E005C0">
          <w:rPr>
            <w:noProof/>
            <w:webHidden/>
          </w:rPr>
          <w:fldChar w:fldCharType="begin"/>
        </w:r>
        <w:r w:rsidR="00E005C0">
          <w:rPr>
            <w:noProof/>
            <w:webHidden/>
          </w:rPr>
          <w:instrText xml:space="preserve"> PAGEREF _Toc243413793 \h </w:instrText>
        </w:r>
        <w:r w:rsidR="00E005C0">
          <w:rPr>
            <w:noProof/>
            <w:webHidden/>
          </w:rPr>
        </w:r>
        <w:r w:rsidR="00E005C0">
          <w:rPr>
            <w:noProof/>
            <w:webHidden/>
          </w:rPr>
          <w:fldChar w:fldCharType="separate"/>
        </w:r>
        <w:r w:rsidR="00E005C0">
          <w:rPr>
            <w:noProof/>
            <w:webHidden/>
          </w:rPr>
          <w:t>2</w:t>
        </w:r>
        <w:r w:rsidR="00E005C0">
          <w:rPr>
            <w:noProof/>
            <w:webHidden/>
          </w:rPr>
          <w:fldChar w:fldCharType="end"/>
        </w:r>
      </w:hyperlink>
    </w:p>
    <w:p w14:paraId="1C6489DA" w14:textId="2FDEBF85" w:rsidR="00E005C0" w:rsidRDefault="00E005C0">
      <w:pPr>
        <w:pStyle w:val="TOC1"/>
        <w:tabs>
          <w:tab w:val="right" w:leader="dot" w:pos="9628"/>
        </w:tabs>
        <w:rPr>
          <w:noProof/>
        </w:rPr>
      </w:pPr>
      <w:hyperlink w:anchor="_Toc243413794" w:history="1">
        <w:r w:rsidRPr="00CE5C9D">
          <w:rPr>
            <w:rStyle w:val="Hyperlink"/>
            <w:noProof/>
          </w:rPr>
          <w:t>2. Introduction &amp; Business Context</w:t>
        </w:r>
        <w:r>
          <w:rPr>
            <w:noProof/>
            <w:webHidden/>
          </w:rPr>
          <w:tab/>
        </w:r>
        <w:r>
          <w:rPr>
            <w:noProof/>
            <w:webHidden/>
          </w:rPr>
          <w:fldChar w:fldCharType="begin"/>
        </w:r>
        <w:r>
          <w:rPr>
            <w:noProof/>
            <w:webHidden/>
          </w:rPr>
          <w:instrText xml:space="preserve"> PAGEREF _Toc243413794 \h </w:instrText>
        </w:r>
        <w:r>
          <w:rPr>
            <w:noProof/>
            <w:webHidden/>
          </w:rPr>
        </w:r>
        <w:r>
          <w:rPr>
            <w:noProof/>
            <w:webHidden/>
          </w:rPr>
          <w:fldChar w:fldCharType="separate"/>
        </w:r>
        <w:r>
          <w:rPr>
            <w:noProof/>
            <w:webHidden/>
          </w:rPr>
          <w:t>3</w:t>
        </w:r>
        <w:r>
          <w:rPr>
            <w:noProof/>
            <w:webHidden/>
          </w:rPr>
          <w:fldChar w:fldCharType="end"/>
        </w:r>
      </w:hyperlink>
    </w:p>
    <w:p w14:paraId="58093056" w14:textId="5ADACE80" w:rsidR="00E005C0" w:rsidRDefault="00E005C0">
      <w:pPr>
        <w:pStyle w:val="TOC1"/>
        <w:tabs>
          <w:tab w:val="right" w:leader="dot" w:pos="9628"/>
        </w:tabs>
        <w:rPr>
          <w:noProof/>
        </w:rPr>
      </w:pPr>
      <w:hyperlink w:anchor="_Toc243413795" w:history="1">
        <w:r w:rsidRPr="00CE5C9D">
          <w:rPr>
            <w:rStyle w:val="Hyperlink"/>
            <w:noProof/>
          </w:rPr>
          <w:t>3. Data Architecture &amp; Methodology</w:t>
        </w:r>
        <w:r>
          <w:rPr>
            <w:noProof/>
            <w:webHidden/>
          </w:rPr>
          <w:tab/>
        </w:r>
        <w:r>
          <w:rPr>
            <w:noProof/>
            <w:webHidden/>
          </w:rPr>
          <w:fldChar w:fldCharType="begin"/>
        </w:r>
        <w:r>
          <w:rPr>
            <w:noProof/>
            <w:webHidden/>
          </w:rPr>
          <w:instrText xml:space="preserve"> PAGEREF _Toc243413795 \h </w:instrText>
        </w:r>
        <w:r>
          <w:rPr>
            <w:noProof/>
            <w:webHidden/>
          </w:rPr>
        </w:r>
        <w:r>
          <w:rPr>
            <w:noProof/>
            <w:webHidden/>
          </w:rPr>
          <w:fldChar w:fldCharType="separate"/>
        </w:r>
        <w:r>
          <w:rPr>
            <w:noProof/>
            <w:webHidden/>
          </w:rPr>
          <w:t>3</w:t>
        </w:r>
        <w:r>
          <w:rPr>
            <w:noProof/>
            <w:webHidden/>
          </w:rPr>
          <w:fldChar w:fldCharType="end"/>
        </w:r>
      </w:hyperlink>
    </w:p>
    <w:p w14:paraId="7390304D" w14:textId="48B78250" w:rsidR="00E005C0" w:rsidRDefault="00E005C0">
      <w:pPr>
        <w:pStyle w:val="TOC1"/>
        <w:tabs>
          <w:tab w:val="right" w:leader="dot" w:pos="9628"/>
        </w:tabs>
        <w:rPr>
          <w:noProof/>
        </w:rPr>
      </w:pPr>
      <w:hyperlink w:anchor="_Toc243413796" w:history="1">
        <w:r w:rsidRPr="00CE5C9D">
          <w:rPr>
            <w:rStyle w:val="Hyperlink"/>
            <w:noProof/>
          </w:rPr>
          <w:t>4. Implementation &amp; Results</w:t>
        </w:r>
        <w:r>
          <w:rPr>
            <w:noProof/>
            <w:webHidden/>
          </w:rPr>
          <w:tab/>
        </w:r>
        <w:r>
          <w:rPr>
            <w:noProof/>
            <w:webHidden/>
          </w:rPr>
          <w:fldChar w:fldCharType="begin"/>
        </w:r>
        <w:r>
          <w:rPr>
            <w:noProof/>
            <w:webHidden/>
          </w:rPr>
          <w:instrText xml:space="preserve"> PAGEREF _Toc243413796 \h </w:instrText>
        </w:r>
        <w:r>
          <w:rPr>
            <w:noProof/>
            <w:webHidden/>
          </w:rPr>
        </w:r>
        <w:r>
          <w:rPr>
            <w:noProof/>
            <w:webHidden/>
          </w:rPr>
          <w:fldChar w:fldCharType="separate"/>
        </w:r>
        <w:r>
          <w:rPr>
            <w:noProof/>
            <w:webHidden/>
          </w:rPr>
          <w:t>5</w:t>
        </w:r>
        <w:r>
          <w:rPr>
            <w:noProof/>
            <w:webHidden/>
          </w:rPr>
          <w:fldChar w:fldCharType="end"/>
        </w:r>
      </w:hyperlink>
    </w:p>
    <w:p w14:paraId="7D99EABC" w14:textId="332809AE" w:rsidR="00E005C0" w:rsidRDefault="00E005C0">
      <w:pPr>
        <w:pStyle w:val="TOC1"/>
        <w:tabs>
          <w:tab w:val="right" w:leader="dot" w:pos="9628"/>
        </w:tabs>
        <w:rPr>
          <w:noProof/>
        </w:rPr>
      </w:pPr>
      <w:hyperlink w:anchor="_Toc243413797" w:history="1">
        <w:r w:rsidRPr="00CE5C9D">
          <w:rPr>
            <w:rStyle w:val="Hyperlink"/>
            <w:noProof/>
          </w:rPr>
          <w:t>5. Strategic Deductions &amp; Business Impact</w:t>
        </w:r>
        <w:r>
          <w:rPr>
            <w:noProof/>
            <w:webHidden/>
          </w:rPr>
          <w:tab/>
        </w:r>
        <w:r>
          <w:rPr>
            <w:noProof/>
            <w:webHidden/>
          </w:rPr>
          <w:fldChar w:fldCharType="begin"/>
        </w:r>
        <w:r>
          <w:rPr>
            <w:noProof/>
            <w:webHidden/>
          </w:rPr>
          <w:instrText xml:space="preserve"> PAGEREF _Toc243413797 \h </w:instrText>
        </w:r>
        <w:r>
          <w:rPr>
            <w:noProof/>
            <w:webHidden/>
          </w:rPr>
        </w:r>
        <w:r>
          <w:rPr>
            <w:noProof/>
            <w:webHidden/>
          </w:rPr>
          <w:fldChar w:fldCharType="separate"/>
        </w:r>
        <w:r>
          <w:rPr>
            <w:noProof/>
            <w:webHidden/>
          </w:rPr>
          <w:t>9</w:t>
        </w:r>
        <w:r>
          <w:rPr>
            <w:noProof/>
            <w:webHidden/>
          </w:rPr>
          <w:fldChar w:fldCharType="end"/>
        </w:r>
      </w:hyperlink>
    </w:p>
    <w:p w14:paraId="14CF3CBD" w14:textId="2BD1984C" w:rsidR="00E005C0" w:rsidRDefault="00E005C0">
      <w:pPr>
        <w:pStyle w:val="TOC1"/>
        <w:tabs>
          <w:tab w:val="right" w:leader="dot" w:pos="9628"/>
        </w:tabs>
        <w:rPr>
          <w:noProof/>
        </w:rPr>
      </w:pPr>
      <w:hyperlink w:anchor="_Toc243413798" w:history="1">
        <w:r w:rsidRPr="00CE5C9D">
          <w:rPr>
            <w:rStyle w:val="Hyperlink"/>
            <w:noProof/>
          </w:rPr>
          <w:t>6. Limitations &amp; Future Work</w:t>
        </w:r>
        <w:r>
          <w:rPr>
            <w:noProof/>
            <w:webHidden/>
          </w:rPr>
          <w:tab/>
        </w:r>
        <w:r>
          <w:rPr>
            <w:noProof/>
            <w:webHidden/>
          </w:rPr>
          <w:fldChar w:fldCharType="begin"/>
        </w:r>
        <w:r>
          <w:rPr>
            <w:noProof/>
            <w:webHidden/>
          </w:rPr>
          <w:instrText xml:space="preserve"> PAGEREF _Toc243413798 \h </w:instrText>
        </w:r>
        <w:r>
          <w:rPr>
            <w:noProof/>
            <w:webHidden/>
          </w:rPr>
        </w:r>
        <w:r>
          <w:rPr>
            <w:noProof/>
            <w:webHidden/>
          </w:rPr>
          <w:fldChar w:fldCharType="separate"/>
        </w:r>
        <w:r>
          <w:rPr>
            <w:noProof/>
            <w:webHidden/>
          </w:rPr>
          <w:t>10</w:t>
        </w:r>
        <w:r>
          <w:rPr>
            <w:noProof/>
            <w:webHidden/>
          </w:rPr>
          <w:fldChar w:fldCharType="end"/>
        </w:r>
      </w:hyperlink>
    </w:p>
    <w:p w14:paraId="6D59DDAC" w14:textId="1791DC29" w:rsidR="00E005C0" w:rsidRDefault="00E005C0">
      <w:pPr>
        <w:pStyle w:val="TOC1"/>
        <w:tabs>
          <w:tab w:val="right" w:leader="dot" w:pos="9628"/>
        </w:tabs>
        <w:rPr>
          <w:noProof/>
        </w:rPr>
      </w:pPr>
      <w:hyperlink w:anchor="_Toc243413799" w:history="1">
        <w:r w:rsidRPr="00CE5C9D">
          <w:rPr>
            <w:rStyle w:val="Hyperlink"/>
            <w:noProof/>
          </w:rPr>
          <w:t>Appendix A. Reproduction</w:t>
        </w:r>
        <w:r>
          <w:rPr>
            <w:noProof/>
            <w:webHidden/>
          </w:rPr>
          <w:tab/>
        </w:r>
        <w:r>
          <w:rPr>
            <w:noProof/>
            <w:webHidden/>
          </w:rPr>
          <w:fldChar w:fldCharType="begin"/>
        </w:r>
        <w:r>
          <w:rPr>
            <w:noProof/>
            <w:webHidden/>
          </w:rPr>
          <w:instrText xml:space="preserve"> PAGEREF _Toc243413799 \h </w:instrText>
        </w:r>
        <w:r>
          <w:rPr>
            <w:noProof/>
            <w:webHidden/>
          </w:rPr>
        </w:r>
        <w:r>
          <w:rPr>
            <w:noProof/>
            <w:webHidden/>
          </w:rPr>
          <w:fldChar w:fldCharType="separate"/>
        </w:r>
        <w:r>
          <w:rPr>
            <w:noProof/>
            <w:webHidden/>
          </w:rPr>
          <w:t>11</w:t>
        </w:r>
        <w:r>
          <w:rPr>
            <w:noProof/>
            <w:webHidden/>
          </w:rPr>
          <w:fldChar w:fldCharType="end"/>
        </w:r>
      </w:hyperlink>
    </w:p>
    <w:p w14:paraId="2B9A0679" w14:textId="141D295B" w:rsidR="00E005C0" w:rsidRDefault="00E005C0">
      <w:pPr>
        <w:pStyle w:val="TOC1"/>
        <w:tabs>
          <w:tab w:val="right" w:leader="dot" w:pos="9628"/>
        </w:tabs>
        <w:rPr>
          <w:noProof/>
        </w:rPr>
      </w:pPr>
      <w:hyperlink w:anchor="_Toc243413800" w:history="1">
        <w:r w:rsidRPr="00CE5C9D">
          <w:rPr>
            <w:rStyle w:val="Hyperlink"/>
            <w:noProof/>
          </w:rPr>
          <w:t>Appendix B. References</w:t>
        </w:r>
        <w:r>
          <w:rPr>
            <w:noProof/>
            <w:webHidden/>
          </w:rPr>
          <w:tab/>
        </w:r>
        <w:r>
          <w:rPr>
            <w:noProof/>
            <w:webHidden/>
          </w:rPr>
          <w:fldChar w:fldCharType="begin"/>
        </w:r>
        <w:r>
          <w:rPr>
            <w:noProof/>
            <w:webHidden/>
          </w:rPr>
          <w:instrText xml:space="preserve"> PAGEREF _Toc243413800 \h </w:instrText>
        </w:r>
        <w:r>
          <w:rPr>
            <w:noProof/>
            <w:webHidden/>
          </w:rPr>
        </w:r>
        <w:r>
          <w:rPr>
            <w:noProof/>
            <w:webHidden/>
          </w:rPr>
          <w:fldChar w:fldCharType="separate"/>
        </w:r>
        <w:r>
          <w:rPr>
            <w:noProof/>
            <w:webHidden/>
          </w:rPr>
          <w:t>11</w:t>
        </w:r>
        <w:r>
          <w:rPr>
            <w:noProof/>
            <w:webHidden/>
          </w:rPr>
          <w:fldChar w:fldCharType="end"/>
        </w:r>
      </w:hyperlink>
    </w:p>
    <w:p w14:paraId="4EF71484" w14:textId="47B77063" w:rsidR="00E005C0" w:rsidRDefault="00E005C0">
      <w:pPr>
        <w:pStyle w:val="TOC1"/>
        <w:tabs>
          <w:tab w:val="right" w:leader="dot" w:pos="9628"/>
        </w:tabs>
        <w:rPr>
          <w:noProof/>
        </w:rPr>
      </w:pPr>
      <w:hyperlink w:anchor="_Toc243413801" w:history="1">
        <w:r w:rsidRPr="00CE5C9D">
          <w:rPr>
            <w:rStyle w:val="Hyperlink"/>
            <w:noProof/>
          </w:rPr>
          <w:t>Appendix C. Detailed V2 architecture</w:t>
        </w:r>
        <w:r>
          <w:rPr>
            <w:noProof/>
            <w:webHidden/>
          </w:rPr>
          <w:tab/>
        </w:r>
        <w:r>
          <w:rPr>
            <w:noProof/>
            <w:webHidden/>
          </w:rPr>
          <w:fldChar w:fldCharType="begin"/>
        </w:r>
        <w:r>
          <w:rPr>
            <w:noProof/>
            <w:webHidden/>
          </w:rPr>
          <w:instrText xml:space="preserve"> PAGEREF _Toc243413801 \h </w:instrText>
        </w:r>
        <w:r>
          <w:rPr>
            <w:noProof/>
            <w:webHidden/>
          </w:rPr>
        </w:r>
        <w:r>
          <w:rPr>
            <w:noProof/>
            <w:webHidden/>
          </w:rPr>
          <w:fldChar w:fldCharType="separate"/>
        </w:r>
        <w:r>
          <w:rPr>
            <w:noProof/>
            <w:webHidden/>
          </w:rPr>
          <w:t>12</w:t>
        </w:r>
        <w:r>
          <w:rPr>
            <w:noProof/>
            <w:webHidden/>
          </w:rPr>
          <w:fldChar w:fldCharType="end"/>
        </w:r>
      </w:hyperlink>
    </w:p>
    <w:p w14:paraId="4BA176B9" w14:textId="77DAED82" w:rsidR="00B87DF5" w:rsidRDefault="007B1330">
      <w:r>
        <w:fldChar w:fldCharType="end"/>
      </w:r>
    </w:p>
    <w:p w14:paraId="0C54637D" w14:textId="77777777" w:rsidR="00B87DF5" w:rsidRDefault="007B1330">
      <w:r>
        <w:br w:type="page"/>
      </w:r>
    </w:p>
    <w:p w14:paraId="1C796271" w14:textId="77777777" w:rsidR="00B87DF5" w:rsidRDefault="007B1330">
      <w:pPr>
        <w:pStyle w:val="Heading1"/>
      </w:pPr>
      <w:bookmarkStart w:id="0" w:name="_Toc243413793"/>
      <w:r>
        <w:lastRenderedPageBreak/>
        <w:t>1. Executive Summary</w:t>
      </w:r>
      <w:bookmarkEnd w:id="0"/>
    </w:p>
    <w:p w14:paraId="77C24D15" w14:textId="77777777" w:rsidR="00B87DF5" w:rsidRDefault="007B1330">
      <w:r>
        <w:rPr>
          <w:b/>
        </w:rPr>
        <w:t>The problem.</w:t>
      </w:r>
      <w:r>
        <w:t xml:space="preserve"> Workplace EV charging sites predict, at plug-in, how much energy a session will draw and how long the car will stay. Those two numbers drive the site load forecast that keeps the site under its contracted demand limit, the “ready-by” time shown to drivers, and the smart-charging schedule. A model trained once decays silently when the fleet and occupancy change: the API stays up and every uptime dashboard stays green while the forecasts drift.</w:t>
      </w:r>
    </w:p>
    <w:p w14:paraId="74141C22" w14:textId="77777777" w:rsidR="00B87DF5" w:rsidRDefault="007B1330">
      <w:r>
        <w:rPr>
          <w:b/>
        </w:rPr>
        <w:t>The approach.</w:t>
      </w:r>
      <w:r>
        <w:t xml:space="preserve"> I built an end-to-end, drift-aware MLOps pipeline on 66,745 real ACN-Data sessions. It includes a 16-check data contract with quarantine, a shared feature builder for training and serving, chronological evaluation against mean and Ridge floors, and MLflow tracking with an alias-based promotion gate. The model is served by FastAPI in Docker, and GitHub Actions CI proves a degraded candidate is blocked. A monthly Prefect flow scores Evidently PSI/KS/JS drift into Prometheus and Grafana. The detector was vali</w:t>
      </w:r>
      <w:r>
        <w:t>dated against a real, dated regime change (the April 2020 workplace shutdown), with thresholds declared before scoring.</w:t>
      </w:r>
    </w:p>
    <w:tbl>
      <w:tblPr>
        <w:tblStyle w:val="TableGrid"/>
        <w:tblW w:w="0" w:type="auto"/>
        <w:jc w:val="center"/>
        <w:tblLook w:val="04A0" w:firstRow="1" w:lastRow="0" w:firstColumn="1" w:lastColumn="0" w:noHBand="0" w:noVBand="1"/>
      </w:tblPr>
      <w:tblGrid>
        <w:gridCol w:w="2268"/>
        <w:gridCol w:w="3685"/>
        <w:gridCol w:w="3685"/>
      </w:tblGrid>
      <w:tr w:rsidR="00B87DF5" w14:paraId="3D3D9E8D" w14:textId="77777777">
        <w:trPr>
          <w:jc w:val="center"/>
        </w:trPr>
        <w:tc>
          <w:tcPr>
            <w:tcW w:w="2268" w:type="dxa"/>
            <w:shd w:val="clear" w:color="auto" w:fill="1F4E79"/>
          </w:tcPr>
          <w:p w14:paraId="428827C8" w14:textId="77777777" w:rsidR="00B87DF5" w:rsidRDefault="007B1330">
            <w:pPr>
              <w:keepNext/>
              <w:spacing w:after="0"/>
            </w:pPr>
            <w:r>
              <w:rPr>
                <w:b/>
                <w:color w:val="FFFFFF"/>
                <w:sz w:val="17"/>
              </w:rPr>
              <w:t>Result</w:t>
            </w:r>
          </w:p>
        </w:tc>
        <w:tc>
          <w:tcPr>
            <w:tcW w:w="3685" w:type="dxa"/>
            <w:shd w:val="clear" w:color="auto" w:fill="1F4E79"/>
          </w:tcPr>
          <w:p w14:paraId="7C6AFEFE" w14:textId="77777777" w:rsidR="00B87DF5" w:rsidRDefault="007B1330">
            <w:pPr>
              <w:keepNext/>
              <w:spacing w:after="0"/>
            </w:pPr>
            <w:r>
              <w:rPr>
                <w:b/>
                <w:color w:val="FFFFFF"/>
                <w:sz w:val="17"/>
              </w:rPr>
              <w:t>Measured value</w:t>
            </w:r>
          </w:p>
        </w:tc>
        <w:tc>
          <w:tcPr>
            <w:tcW w:w="3685" w:type="dxa"/>
            <w:shd w:val="clear" w:color="auto" w:fill="1F4E79"/>
          </w:tcPr>
          <w:p w14:paraId="2FC54039" w14:textId="77777777" w:rsidR="00B87DF5" w:rsidRDefault="007B1330">
            <w:pPr>
              <w:keepNext/>
              <w:spacing w:after="0"/>
            </w:pPr>
            <w:r>
              <w:rPr>
                <w:b/>
                <w:color w:val="FFFFFF"/>
                <w:sz w:val="17"/>
              </w:rPr>
              <w:t>What it means</w:t>
            </w:r>
          </w:p>
        </w:tc>
      </w:tr>
      <w:tr w:rsidR="00B87DF5" w14:paraId="521B8B6B" w14:textId="77777777">
        <w:trPr>
          <w:jc w:val="center"/>
        </w:trPr>
        <w:tc>
          <w:tcPr>
            <w:tcW w:w="2268" w:type="dxa"/>
          </w:tcPr>
          <w:p w14:paraId="7FF86AE0" w14:textId="77777777" w:rsidR="00B87DF5" w:rsidRDefault="007B1330">
            <w:pPr>
              <w:keepNext/>
              <w:spacing w:after="0"/>
            </w:pPr>
            <w:r>
              <w:rPr>
                <w:sz w:val="17"/>
              </w:rPr>
              <w:t>Energy prediction quality</w:t>
            </w:r>
          </w:p>
        </w:tc>
        <w:tc>
          <w:tcPr>
            <w:tcW w:w="3685" w:type="dxa"/>
          </w:tcPr>
          <w:p w14:paraId="7829038A" w14:textId="77777777" w:rsidR="00B87DF5" w:rsidRDefault="007B1330">
            <w:pPr>
              <w:keepNext/>
              <w:spacing w:after="0"/>
            </w:pPr>
            <w:r>
              <w:rPr>
                <w:sz w:val="17"/>
              </w:rPr>
              <w:t>MAE 4.40 kWh vs 7.89 naive (−44%)</w:t>
            </w:r>
          </w:p>
        </w:tc>
        <w:tc>
          <w:tcPr>
            <w:tcW w:w="3685" w:type="dxa"/>
          </w:tcPr>
          <w:p w14:paraId="5879C230" w14:textId="77777777" w:rsidR="00B87DF5" w:rsidRDefault="007B1330">
            <w:pPr>
              <w:keepNext/>
              <w:spacing w:after="0"/>
            </w:pPr>
            <w:r>
              <w:rPr>
                <w:sz w:val="17"/>
              </w:rPr>
              <w:t>Less headroom to hold back per plug-in</w:t>
            </w:r>
          </w:p>
        </w:tc>
      </w:tr>
      <w:tr w:rsidR="00B87DF5" w14:paraId="4F50AAEB" w14:textId="77777777">
        <w:trPr>
          <w:jc w:val="center"/>
        </w:trPr>
        <w:tc>
          <w:tcPr>
            <w:tcW w:w="2268" w:type="dxa"/>
            <w:shd w:val="clear" w:color="auto" w:fill="EAF1F8"/>
          </w:tcPr>
          <w:p w14:paraId="05C07BDD" w14:textId="77777777" w:rsidR="00B87DF5" w:rsidRDefault="007B1330">
            <w:pPr>
              <w:keepNext/>
              <w:spacing w:after="0"/>
            </w:pPr>
            <w:r>
              <w:rPr>
                <w:sz w:val="17"/>
              </w:rPr>
              <w:t>Dwell (ready-by) quality</w:t>
            </w:r>
          </w:p>
        </w:tc>
        <w:tc>
          <w:tcPr>
            <w:tcW w:w="3685" w:type="dxa"/>
            <w:shd w:val="clear" w:color="auto" w:fill="EAF1F8"/>
          </w:tcPr>
          <w:p w14:paraId="445C87A8" w14:textId="77777777" w:rsidR="00B87DF5" w:rsidRDefault="007B1330">
            <w:pPr>
              <w:keepNext/>
              <w:spacing w:after="0"/>
            </w:pPr>
            <w:r>
              <w:rPr>
                <w:sz w:val="17"/>
              </w:rPr>
              <w:t>MAE 1.66 h vs 3.07 naive (−46%)</w:t>
            </w:r>
          </w:p>
        </w:tc>
        <w:tc>
          <w:tcPr>
            <w:tcW w:w="3685" w:type="dxa"/>
            <w:shd w:val="clear" w:color="auto" w:fill="EAF1F8"/>
          </w:tcPr>
          <w:p w14:paraId="2CCCFE9D" w14:textId="77777777" w:rsidR="00B87DF5" w:rsidRDefault="007B1330">
            <w:pPr>
              <w:keepNext/>
              <w:spacing w:after="0"/>
            </w:pPr>
            <w:r>
              <w:rPr>
                <w:sz w:val="17"/>
              </w:rPr>
              <w:t>Departure estimates ~1.4 h closer</w:t>
            </w:r>
          </w:p>
        </w:tc>
      </w:tr>
      <w:tr w:rsidR="00B87DF5" w14:paraId="063E1981" w14:textId="77777777">
        <w:trPr>
          <w:jc w:val="center"/>
        </w:trPr>
        <w:tc>
          <w:tcPr>
            <w:tcW w:w="2268" w:type="dxa"/>
          </w:tcPr>
          <w:p w14:paraId="64B9EA10" w14:textId="77777777" w:rsidR="00B87DF5" w:rsidRDefault="007B1330">
            <w:pPr>
              <w:keepNext/>
              <w:spacing w:after="0"/>
            </w:pPr>
            <w:r>
              <w:rPr>
                <w:sz w:val="17"/>
              </w:rPr>
              <w:t>Silent failure exposed</w:t>
            </w:r>
          </w:p>
        </w:tc>
        <w:tc>
          <w:tcPr>
            <w:tcW w:w="3685" w:type="dxa"/>
          </w:tcPr>
          <w:p w14:paraId="4B5548D8" w14:textId="77777777" w:rsidR="00B87DF5" w:rsidRDefault="007B1330">
            <w:pPr>
              <w:keepNext/>
              <w:spacing w:after="0"/>
            </w:pPr>
            <w:r>
              <w:rPr>
                <w:sz w:val="17"/>
              </w:rPr>
              <w:t>Error +43% (6.27 kWh) after April 2020</w:t>
            </w:r>
          </w:p>
        </w:tc>
        <w:tc>
          <w:tcPr>
            <w:tcW w:w="3685" w:type="dxa"/>
          </w:tcPr>
          <w:p w14:paraId="21D868ED" w14:textId="77777777" w:rsidR="00B87DF5" w:rsidRDefault="007B1330">
            <w:pPr>
              <w:keepNext/>
              <w:spacing w:after="0"/>
            </w:pPr>
            <w:r>
              <w:rPr>
                <w:sz w:val="17"/>
              </w:rPr>
              <w:t>Invisible to uptime and latency monitoring</w:t>
            </w:r>
          </w:p>
        </w:tc>
      </w:tr>
      <w:tr w:rsidR="00B87DF5" w14:paraId="24093062" w14:textId="77777777">
        <w:trPr>
          <w:jc w:val="center"/>
        </w:trPr>
        <w:tc>
          <w:tcPr>
            <w:tcW w:w="2268" w:type="dxa"/>
            <w:shd w:val="clear" w:color="auto" w:fill="EAF1F8"/>
          </w:tcPr>
          <w:p w14:paraId="17650F55" w14:textId="77777777" w:rsidR="00B87DF5" w:rsidRDefault="007B1330">
            <w:pPr>
              <w:keepNext/>
              <w:spacing w:after="0"/>
            </w:pPr>
            <w:r>
              <w:rPr>
                <w:sz w:val="17"/>
              </w:rPr>
              <w:t>Drift detector</w:t>
            </w:r>
          </w:p>
        </w:tc>
        <w:tc>
          <w:tcPr>
            <w:tcW w:w="3685" w:type="dxa"/>
            <w:shd w:val="clear" w:color="auto" w:fill="EAF1F8"/>
          </w:tcPr>
          <w:p w14:paraId="1B09DC77" w14:textId="77777777" w:rsidR="00B87DF5" w:rsidRDefault="007B1330">
            <w:pPr>
              <w:keepNext/>
              <w:spacing w:after="0"/>
            </w:pPr>
            <w:r>
              <w:rPr>
                <w:sz w:val="17"/>
              </w:rPr>
              <w:t>April 2020 PSI 0.231 &gt; 0.20; 0/8 false alarms</w:t>
            </w:r>
          </w:p>
        </w:tc>
        <w:tc>
          <w:tcPr>
            <w:tcW w:w="3685" w:type="dxa"/>
            <w:shd w:val="clear" w:color="auto" w:fill="EAF1F8"/>
          </w:tcPr>
          <w:p w14:paraId="645B77A0" w14:textId="77777777" w:rsidR="00B87DF5" w:rsidRDefault="007B1330">
            <w:pPr>
              <w:keepNext/>
              <w:spacing w:after="0"/>
            </w:pPr>
            <w:r>
              <w:rPr>
                <w:sz w:val="17"/>
              </w:rPr>
              <w:t>Alerts on real shift, quiet in stable months</w:t>
            </w:r>
          </w:p>
        </w:tc>
      </w:tr>
      <w:tr w:rsidR="00B87DF5" w14:paraId="3F561E13" w14:textId="77777777">
        <w:trPr>
          <w:jc w:val="center"/>
        </w:trPr>
        <w:tc>
          <w:tcPr>
            <w:tcW w:w="2268" w:type="dxa"/>
          </w:tcPr>
          <w:p w14:paraId="0F91F1BA" w14:textId="77777777" w:rsidR="00B87DF5" w:rsidRDefault="007B1330">
            <w:pPr>
              <w:keepNext/>
              <w:spacing w:after="0"/>
            </w:pPr>
            <w:r>
              <w:rPr>
                <w:sz w:val="17"/>
              </w:rPr>
              <w:t>Release safety</w:t>
            </w:r>
          </w:p>
        </w:tc>
        <w:tc>
          <w:tcPr>
            <w:tcW w:w="3685" w:type="dxa"/>
          </w:tcPr>
          <w:p w14:paraId="6CF3230A" w14:textId="77777777" w:rsidR="00B87DF5" w:rsidRDefault="007B1330">
            <w:pPr>
              <w:keepNext/>
              <w:spacing w:after="0"/>
            </w:pPr>
            <w:r>
              <w:rPr>
                <w:sz w:val="17"/>
              </w:rPr>
              <w:t>Degraded candidate (13.5 kWh) blocked in CI</w:t>
            </w:r>
          </w:p>
        </w:tc>
        <w:tc>
          <w:tcPr>
            <w:tcW w:w="3685" w:type="dxa"/>
          </w:tcPr>
          <w:p w14:paraId="469438DC" w14:textId="77777777" w:rsidR="00B87DF5" w:rsidRDefault="007B1330">
            <w:pPr>
              <w:keepNext/>
              <w:spacing w:after="0"/>
            </w:pPr>
            <w:r>
              <w:rPr>
                <w:sz w:val="17"/>
              </w:rPr>
              <w:t>Bad models cannot reach the scheduler</w:t>
            </w:r>
          </w:p>
        </w:tc>
      </w:tr>
      <w:tr w:rsidR="00B87DF5" w14:paraId="58569E55" w14:textId="77777777">
        <w:trPr>
          <w:jc w:val="center"/>
        </w:trPr>
        <w:tc>
          <w:tcPr>
            <w:tcW w:w="2268" w:type="dxa"/>
            <w:shd w:val="clear" w:color="auto" w:fill="EAF1F8"/>
          </w:tcPr>
          <w:p w14:paraId="65CC83AF" w14:textId="77777777" w:rsidR="00B87DF5" w:rsidRDefault="007B1330">
            <w:pPr>
              <w:keepNext/>
              <w:spacing w:after="0"/>
            </w:pPr>
            <w:r>
              <w:rPr>
                <w:sz w:val="17"/>
              </w:rPr>
              <w:t>Rollback</w:t>
            </w:r>
          </w:p>
        </w:tc>
        <w:tc>
          <w:tcPr>
            <w:tcW w:w="3685" w:type="dxa"/>
            <w:shd w:val="clear" w:color="auto" w:fill="EAF1F8"/>
          </w:tcPr>
          <w:p w14:paraId="71E4C708" w14:textId="77777777" w:rsidR="00B87DF5" w:rsidRDefault="007B1330">
            <w:pPr>
              <w:keepNext/>
              <w:spacing w:after="0"/>
            </w:pPr>
            <w:r>
              <w:rPr>
                <w:sz w:val="17"/>
              </w:rPr>
              <w:t>Alias + previous-image drill passed</w:t>
            </w:r>
          </w:p>
        </w:tc>
        <w:tc>
          <w:tcPr>
            <w:tcW w:w="3685" w:type="dxa"/>
            <w:shd w:val="clear" w:color="auto" w:fill="EAF1F8"/>
          </w:tcPr>
          <w:p w14:paraId="70B484C6" w14:textId="77777777" w:rsidR="00B87DF5" w:rsidRDefault="007B1330">
            <w:pPr>
              <w:keepNext/>
              <w:spacing w:after="0"/>
            </w:pPr>
            <w:r>
              <w:rPr>
                <w:sz w:val="17"/>
              </w:rPr>
              <w:t>Known-good version restorable without retraining</w:t>
            </w:r>
          </w:p>
        </w:tc>
      </w:tr>
      <w:tr w:rsidR="00B87DF5" w14:paraId="42F2D7E1" w14:textId="77777777">
        <w:trPr>
          <w:jc w:val="center"/>
        </w:trPr>
        <w:tc>
          <w:tcPr>
            <w:tcW w:w="2268" w:type="dxa"/>
          </w:tcPr>
          <w:p w14:paraId="0E050D35" w14:textId="77777777" w:rsidR="00B87DF5" w:rsidRDefault="007B1330">
            <w:pPr>
              <w:spacing w:after="0"/>
            </w:pPr>
            <w:r>
              <w:rPr>
                <w:sz w:val="17"/>
              </w:rPr>
              <w:t>Recovery target</w:t>
            </w:r>
          </w:p>
        </w:tc>
        <w:tc>
          <w:tcPr>
            <w:tcW w:w="3685" w:type="dxa"/>
          </w:tcPr>
          <w:p w14:paraId="72D85410" w14:textId="77777777" w:rsidR="00B87DF5" w:rsidRDefault="007B1330">
            <w:pPr>
              <w:spacing w:after="0"/>
            </w:pPr>
            <w:r>
              <w:rPr>
                <w:sz w:val="17"/>
              </w:rPr>
              <w:t>Best retrain 5.71 kWh vs ≤ 4.84 target</w:t>
            </w:r>
          </w:p>
        </w:tc>
        <w:tc>
          <w:tcPr>
            <w:tcW w:w="3685" w:type="dxa"/>
          </w:tcPr>
          <w:p w14:paraId="701DD149" w14:textId="77777777" w:rsidR="00B87DF5" w:rsidRDefault="007B1330">
            <w:pPr>
              <w:spacing w:after="0"/>
            </w:pPr>
            <w:r>
              <w:rPr>
                <w:b/>
                <w:sz w:val="17"/>
              </w:rPr>
              <w:t>Not met</w:t>
            </w:r>
            <w:r>
              <w:rPr>
                <w:sz w:val="17"/>
              </w:rPr>
              <w:t xml:space="preserve"> — reported as a null result</w:t>
            </w:r>
          </w:p>
        </w:tc>
      </w:tr>
    </w:tbl>
    <w:p w14:paraId="79509E0A" w14:textId="77777777" w:rsidR="00B87DF5" w:rsidRDefault="00B87DF5">
      <w:pPr>
        <w:spacing w:after="40"/>
      </w:pPr>
    </w:p>
    <w:p w14:paraId="24CBD487" w14:textId="77777777" w:rsidR="00B87DF5" w:rsidRDefault="007B1330">
      <w:r>
        <w:rPr>
          <w:b/>
        </w:rPr>
        <w:t>Recommendation.</w:t>
      </w:r>
      <w:r>
        <w:t xml:space="preserve"> Adopt the monitoring, promotion gate and rollback controls now: they turn a silent failure into a dated, auditable alert and stop regressions at release time. Treat predictions for the smallest site (0019) as advisory only. Do not rely on automatic retraining to restore accuracy after a regime change until site-aware or recency-weighted training and the deferred occupancy feature have been evaluated; the measured recovery gap is 29.8% above the pre-shift error.</w:t>
      </w:r>
    </w:p>
    <w:p w14:paraId="3AA5124A" w14:textId="77777777" w:rsidR="00B87DF5" w:rsidRDefault="007B1330">
      <w:r>
        <w:br w:type="page"/>
      </w:r>
    </w:p>
    <w:p w14:paraId="69BB7327" w14:textId="77777777" w:rsidR="00B87DF5" w:rsidRDefault="007B1330">
      <w:pPr>
        <w:pStyle w:val="Heading1"/>
      </w:pPr>
      <w:bookmarkStart w:id="1" w:name="_Toc243413794"/>
      <w:r>
        <w:lastRenderedPageBreak/>
        <w:t>2. Introduction &amp; Business Context</w:t>
      </w:r>
      <w:bookmarkEnd w:id="1"/>
    </w:p>
    <w:p w14:paraId="573D89F1" w14:textId="77777777" w:rsidR="00B87DF5" w:rsidRDefault="007B1330">
      <w:pPr>
        <w:pStyle w:val="Heading2"/>
      </w:pPr>
      <w:r>
        <w:t>2.1 Why the prediction matters</w:t>
      </w:r>
    </w:p>
    <w:p w14:paraId="6EE1B62B" w14:textId="77777777" w:rsidR="00B87DF5" w:rsidRDefault="007B1330">
      <w:r>
        <w:t xml:space="preserve">Commercial charging sites are billed for energy and for </w:t>
      </w:r>
      <w:r>
        <w:rPr>
          <w:b/>
        </w:rPr>
        <w:t>demand</w:t>
      </w:r>
      <w:r>
        <w:t xml:space="preserve">: the highest short-interval power draw in the billing month. A site that under-forecasts its load breaches its contracted limit and pays a demand charge set by that single peak, or has to curtail charging abruptly. A site that over-forecasts strands capacity it has already paid for and turns drivers away. Between those two failure modes sits the smart-charging scheduler, which divides limited power across occupied bays using the predicted energy and departure time of each car. Drivers judge the service on </w:t>
      </w:r>
      <w:r>
        <w:t>one number, the ready-by estimate; when it is wrong, they stop trusting the app.</w:t>
      </w:r>
    </w:p>
    <w:p w14:paraId="641684BB" w14:textId="77777777" w:rsidR="00B87DF5" w:rsidRDefault="007B1330">
      <w:pPr>
        <w:pStyle w:val="Heading2"/>
      </w:pPr>
      <w:r>
        <w:t>2.2 The operational stake: silent degradation</w:t>
      </w:r>
    </w:p>
    <w:p w14:paraId="4EEEF68A" w14:textId="77777777" w:rsidR="00B87DF5" w:rsidRDefault="007B1330">
      <w:r>
        <w:t>The model's inputs are not stationary. In March–April 2020 workplace charging collapsed: monthly sessions fell 86% at site 0001 and 97% at site 0002 against the reference-period monthly median. The sessions that remained looked different, and mean delivered energy at site 0002 rose from 7.33 to 11.79 kWh. A frozen model kept answering every request with HTTP 200 and flat latency while its error rose 43%. Conventional service monitoring cannot see this failure, because it lives in the data, not the infrastru</w:t>
      </w:r>
      <w:r>
        <w:t>cture.</w:t>
      </w:r>
    </w:p>
    <w:p w14:paraId="4074E898" w14:textId="77777777" w:rsidR="00B87DF5" w:rsidRDefault="007B1330">
      <w:pPr>
        <w:pStyle w:val="Heading2"/>
      </w:pPr>
      <w:r>
        <w:t>2.3 Prior approaches and their pitfalls</w:t>
      </w:r>
    </w:p>
    <w:tbl>
      <w:tblPr>
        <w:tblStyle w:val="TableGrid"/>
        <w:tblW w:w="0" w:type="auto"/>
        <w:jc w:val="center"/>
        <w:tblLook w:val="04A0" w:firstRow="1" w:lastRow="0" w:firstColumn="1" w:lastColumn="0" w:noHBand="0" w:noVBand="1"/>
      </w:tblPr>
      <w:tblGrid>
        <w:gridCol w:w="2381"/>
        <w:gridCol w:w="3402"/>
        <w:gridCol w:w="3855"/>
      </w:tblGrid>
      <w:tr w:rsidR="00B87DF5" w14:paraId="43E8AFE6" w14:textId="77777777">
        <w:trPr>
          <w:jc w:val="center"/>
        </w:trPr>
        <w:tc>
          <w:tcPr>
            <w:tcW w:w="2381" w:type="dxa"/>
            <w:shd w:val="clear" w:color="auto" w:fill="1F4E79"/>
          </w:tcPr>
          <w:p w14:paraId="600BEE9A" w14:textId="77777777" w:rsidR="00B87DF5" w:rsidRDefault="007B1330">
            <w:pPr>
              <w:keepNext/>
              <w:spacing w:after="0"/>
            </w:pPr>
            <w:r>
              <w:rPr>
                <w:b/>
                <w:color w:val="FFFFFF"/>
                <w:sz w:val="17"/>
              </w:rPr>
              <w:t>Common industry practice</w:t>
            </w:r>
          </w:p>
        </w:tc>
        <w:tc>
          <w:tcPr>
            <w:tcW w:w="3402" w:type="dxa"/>
            <w:shd w:val="clear" w:color="auto" w:fill="1F4E79"/>
          </w:tcPr>
          <w:p w14:paraId="44CD6C8D" w14:textId="77777777" w:rsidR="00B87DF5" w:rsidRDefault="007B1330">
            <w:pPr>
              <w:keepNext/>
              <w:spacing w:after="0"/>
            </w:pPr>
            <w:r>
              <w:rPr>
                <w:b/>
                <w:color w:val="FFFFFF"/>
                <w:sz w:val="17"/>
              </w:rPr>
              <w:t>Why it fails</w:t>
            </w:r>
          </w:p>
        </w:tc>
        <w:tc>
          <w:tcPr>
            <w:tcW w:w="3855" w:type="dxa"/>
            <w:shd w:val="clear" w:color="auto" w:fill="1F4E79"/>
          </w:tcPr>
          <w:p w14:paraId="17CA3890" w14:textId="77777777" w:rsidR="00B87DF5" w:rsidRDefault="007B1330">
            <w:pPr>
              <w:keepNext/>
              <w:spacing w:after="0"/>
            </w:pPr>
            <w:r>
              <w:rPr>
                <w:b/>
                <w:color w:val="FFFFFF"/>
                <w:sz w:val="17"/>
              </w:rPr>
              <w:t>Response in this project</w:t>
            </w:r>
          </w:p>
        </w:tc>
      </w:tr>
      <w:tr w:rsidR="00B87DF5" w14:paraId="08DDE8F3" w14:textId="77777777">
        <w:trPr>
          <w:jc w:val="center"/>
        </w:trPr>
        <w:tc>
          <w:tcPr>
            <w:tcW w:w="2381" w:type="dxa"/>
          </w:tcPr>
          <w:p w14:paraId="50B0DE40" w14:textId="77777777" w:rsidR="00B87DF5" w:rsidRDefault="007B1330">
            <w:pPr>
              <w:keepNext/>
              <w:spacing w:after="0"/>
            </w:pPr>
            <w:r>
              <w:rPr>
                <w:sz w:val="17"/>
              </w:rPr>
              <w:t>Retrain on a calendar (e.g. monthly)</w:t>
            </w:r>
          </w:p>
        </w:tc>
        <w:tc>
          <w:tcPr>
            <w:tcW w:w="3402" w:type="dxa"/>
          </w:tcPr>
          <w:p w14:paraId="2C4B12F8" w14:textId="77777777" w:rsidR="00B87DF5" w:rsidRDefault="007B1330">
            <w:pPr>
              <w:keepNext/>
              <w:spacing w:after="0"/>
            </w:pPr>
            <w:r>
              <w:rPr>
                <w:sz w:val="17"/>
              </w:rPr>
              <w:t>Retrains whether or not anything changed; cannot say whether the new model is better</w:t>
            </w:r>
          </w:p>
        </w:tc>
        <w:tc>
          <w:tcPr>
            <w:tcW w:w="3855" w:type="dxa"/>
          </w:tcPr>
          <w:p w14:paraId="57238624" w14:textId="77777777" w:rsidR="00B87DF5" w:rsidRDefault="007B1330">
            <w:pPr>
              <w:keepNext/>
              <w:spacing w:after="0"/>
            </w:pPr>
            <w:r>
              <w:rPr>
                <w:sz w:val="17"/>
              </w:rPr>
              <w:t>Retraining is triggered by a validated drift alert and must pass a promotion gate</w:t>
            </w:r>
          </w:p>
        </w:tc>
      </w:tr>
      <w:tr w:rsidR="00B87DF5" w14:paraId="6368B0FF" w14:textId="77777777">
        <w:trPr>
          <w:jc w:val="center"/>
        </w:trPr>
        <w:tc>
          <w:tcPr>
            <w:tcW w:w="2381" w:type="dxa"/>
            <w:shd w:val="clear" w:color="auto" w:fill="EAF1F8"/>
          </w:tcPr>
          <w:p w14:paraId="443E6BE6" w14:textId="77777777" w:rsidR="00B87DF5" w:rsidRDefault="007B1330">
            <w:pPr>
              <w:keepNext/>
              <w:spacing w:after="0"/>
            </w:pPr>
            <w:r>
              <w:rPr>
                <w:sz w:val="17"/>
              </w:rPr>
              <w:t>Monitor uptime, latency and error rate</w:t>
            </w:r>
          </w:p>
        </w:tc>
        <w:tc>
          <w:tcPr>
            <w:tcW w:w="3402" w:type="dxa"/>
            <w:shd w:val="clear" w:color="auto" w:fill="EAF1F8"/>
          </w:tcPr>
          <w:p w14:paraId="29BE242F" w14:textId="77777777" w:rsidR="00B87DF5" w:rsidRDefault="007B1330">
            <w:pPr>
              <w:keepNext/>
              <w:spacing w:after="0"/>
            </w:pPr>
            <w:r>
              <w:rPr>
                <w:sz w:val="17"/>
              </w:rPr>
              <w:t>Blind to distribution shift; the April 2020 failure is fully invisible</w:t>
            </w:r>
          </w:p>
        </w:tc>
        <w:tc>
          <w:tcPr>
            <w:tcW w:w="3855" w:type="dxa"/>
            <w:shd w:val="clear" w:color="auto" w:fill="EAF1F8"/>
          </w:tcPr>
          <w:p w14:paraId="7E7ED971" w14:textId="77777777" w:rsidR="00B87DF5" w:rsidRDefault="007B1330">
            <w:pPr>
              <w:keepNext/>
              <w:spacing w:after="0"/>
            </w:pPr>
            <w:r>
              <w:rPr>
                <w:sz w:val="17"/>
              </w:rPr>
              <w:t>Per-feature PSI/KS/JS, target and prediction drift exported to Prometheus with alert rules</w:t>
            </w:r>
          </w:p>
        </w:tc>
      </w:tr>
      <w:tr w:rsidR="00B87DF5" w14:paraId="0F931957" w14:textId="77777777">
        <w:trPr>
          <w:jc w:val="center"/>
        </w:trPr>
        <w:tc>
          <w:tcPr>
            <w:tcW w:w="2381" w:type="dxa"/>
          </w:tcPr>
          <w:p w14:paraId="425B04AC" w14:textId="77777777" w:rsidR="00B87DF5" w:rsidRDefault="007B1330">
            <w:pPr>
              <w:keepNext/>
              <w:spacing w:after="0"/>
            </w:pPr>
            <w:r>
              <w:rPr>
                <w:sz w:val="17"/>
              </w:rPr>
              <w:t>Treat offline accuracy as a guarantee</w:t>
            </w:r>
          </w:p>
        </w:tc>
        <w:tc>
          <w:tcPr>
            <w:tcW w:w="3402" w:type="dxa"/>
          </w:tcPr>
          <w:p w14:paraId="38CF12C0" w14:textId="77777777" w:rsidR="00B87DF5" w:rsidRDefault="007B1330">
            <w:pPr>
              <w:keepNext/>
              <w:spacing w:after="0"/>
            </w:pPr>
            <w:r>
              <w:rPr>
                <w:sz w:val="17"/>
              </w:rPr>
              <w:t>Random splits leak across regime changes and flatter the score</w:t>
            </w:r>
          </w:p>
        </w:tc>
        <w:tc>
          <w:tcPr>
            <w:tcW w:w="3855" w:type="dxa"/>
          </w:tcPr>
          <w:p w14:paraId="7B0F2889" w14:textId="77777777" w:rsidR="00B87DF5" w:rsidRDefault="007B1330">
            <w:pPr>
              <w:keepNext/>
              <w:spacing w:after="0"/>
            </w:pPr>
            <w:r>
              <w:rPr>
                <w:sz w:val="17"/>
              </w:rPr>
              <w:t>Strictly chronological train/validation/post-shift evaluation; post-shift score reported</w:t>
            </w:r>
          </w:p>
        </w:tc>
      </w:tr>
      <w:tr w:rsidR="00B87DF5" w14:paraId="12FAB11C" w14:textId="77777777">
        <w:trPr>
          <w:jc w:val="center"/>
        </w:trPr>
        <w:tc>
          <w:tcPr>
            <w:tcW w:w="2381" w:type="dxa"/>
            <w:shd w:val="clear" w:color="auto" w:fill="EAF1F8"/>
          </w:tcPr>
          <w:p w14:paraId="193FE4F7" w14:textId="77777777" w:rsidR="00B87DF5" w:rsidRDefault="007B1330">
            <w:pPr>
              <w:spacing w:after="0"/>
            </w:pPr>
            <w:r>
              <w:rPr>
                <w:sz w:val="17"/>
              </w:rPr>
              <w:t>Re-implement transforms in the service</w:t>
            </w:r>
          </w:p>
        </w:tc>
        <w:tc>
          <w:tcPr>
            <w:tcW w:w="3402" w:type="dxa"/>
            <w:shd w:val="clear" w:color="auto" w:fill="EAF1F8"/>
          </w:tcPr>
          <w:p w14:paraId="433FA0B6" w14:textId="77777777" w:rsidR="00B87DF5" w:rsidRDefault="007B1330">
            <w:pPr>
              <w:spacing w:after="0"/>
            </w:pPr>
            <w:r>
              <w:rPr>
                <w:sz w:val="17"/>
              </w:rPr>
              <w:t>Train/serve skew silently corrupts predictions</w:t>
            </w:r>
          </w:p>
        </w:tc>
        <w:tc>
          <w:tcPr>
            <w:tcW w:w="3855" w:type="dxa"/>
            <w:shd w:val="clear" w:color="auto" w:fill="EAF1F8"/>
          </w:tcPr>
          <w:p w14:paraId="7B053CCE" w14:textId="77777777" w:rsidR="00B87DF5" w:rsidRDefault="007B1330">
            <w:pPr>
              <w:spacing w:after="0"/>
            </w:pPr>
            <w:r>
              <w:rPr>
                <w:sz w:val="17"/>
              </w:rPr>
              <w:t>One feature module used by both paths; 1,000-session parity audit in the test suite</w:t>
            </w:r>
          </w:p>
        </w:tc>
      </w:tr>
    </w:tbl>
    <w:p w14:paraId="366945D5" w14:textId="77777777" w:rsidR="00B87DF5" w:rsidRDefault="00B87DF5">
      <w:pPr>
        <w:spacing w:after="40"/>
      </w:pPr>
    </w:p>
    <w:p w14:paraId="7FA8BADE" w14:textId="77777777" w:rsidR="00B87DF5" w:rsidRDefault="007B1330">
      <w:pPr>
        <w:pStyle w:val="Heading2"/>
      </w:pPr>
      <w:r>
        <w:t>2.4 Consumers and ownership</w:t>
      </w:r>
    </w:p>
    <w:tbl>
      <w:tblPr>
        <w:tblStyle w:val="TableGrid"/>
        <w:tblW w:w="0" w:type="auto"/>
        <w:jc w:val="center"/>
        <w:tblLook w:val="04A0" w:firstRow="1" w:lastRow="0" w:firstColumn="1" w:lastColumn="0" w:noHBand="0" w:noVBand="1"/>
      </w:tblPr>
      <w:tblGrid>
        <w:gridCol w:w="2608"/>
        <w:gridCol w:w="3061"/>
        <w:gridCol w:w="3969"/>
      </w:tblGrid>
      <w:tr w:rsidR="00B87DF5" w14:paraId="654F129F" w14:textId="77777777">
        <w:trPr>
          <w:jc w:val="center"/>
        </w:trPr>
        <w:tc>
          <w:tcPr>
            <w:tcW w:w="2608" w:type="dxa"/>
            <w:shd w:val="clear" w:color="auto" w:fill="1F4E79"/>
          </w:tcPr>
          <w:p w14:paraId="0715C339" w14:textId="77777777" w:rsidR="00B87DF5" w:rsidRDefault="007B1330">
            <w:pPr>
              <w:keepNext/>
              <w:spacing w:after="0"/>
            </w:pPr>
            <w:r>
              <w:rPr>
                <w:b/>
                <w:color w:val="FFFFFF"/>
                <w:sz w:val="17"/>
              </w:rPr>
              <w:t>Consumer</w:t>
            </w:r>
          </w:p>
        </w:tc>
        <w:tc>
          <w:tcPr>
            <w:tcW w:w="3061" w:type="dxa"/>
            <w:shd w:val="clear" w:color="auto" w:fill="1F4E79"/>
          </w:tcPr>
          <w:p w14:paraId="68EF1CD3" w14:textId="77777777" w:rsidR="00B87DF5" w:rsidRDefault="007B1330">
            <w:pPr>
              <w:keepNext/>
              <w:spacing w:after="0"/>
            </w:pPr>
            <w:r>
              <w:rPr>
                <w:b/>
                <w:color w:val="FFFFFF"/>
                <w:sz w:val="17"/>
              </w:rPr>
              <w:t>Decision supported</w:t>
            </w:r>
          </w:p>
        </w:tc>
        <w:tc>
          <w:tcPr>
            <w:tcW w:w="3969" w:type="dxa"/>
            <w:shd w:val="clear" w:color="auto" w:fill="1F4E79"/>
          </w:tcPr>
          <w:p w14:paraId="3831B08E" w14:textId="77777777" w:rsidR="00B87DF5" w:rsidRDefault="007B1330">
            <w:pPr>
              <w:keepNext/>
              <w:spacing w:after="0"/>
            </w:pPr>
            <w:r>
              <w:rPr>
                <w:b/>
                <w:color w:val="FFFFFF"/>
                <w:sz w:val="17"/>
              </w:rPr>
              <w:t>What they need from the model</w:t>
            </w:r>
          </w:p>
        </w:tc>
      </w:tr>
      <w:tr w:rsidR="00B87DF5" w14:paraId="2C11D997" w14:textId="77777777">
        <w:trPr>
          <w:jc w:val="center"/>
        </w:trPr>
        <w:tc>
          <w:tcPr>
            <w:tcW w:w="2608" w:type="dxa"/>
          </w:tcPr>
          <w:p w14:paraId="258A5234" w14:textId="77777777" w:rsidR="00B87DF5" w:rsidRDefault="007B1330">
            <w:pPr>
              <w:keepNext/>
              <w:spacing w:after="0"/>
            </w:pPr>
            <w:r>
              <w:rPr>
                <w:sz w:val="17"/>
              </w:rPr>
              <w:t>Charging operations / site energy manager</w:t>
            </w:r>
          </w:p>
        </w:tc>
        <w:tc>
          <w:tcPr>
            <w:tcW w:w="3061" w:type="dxa"/>
          </w:tcPr>
          <w:p w14:paraId="468052B5" w14:textId="77777777" w:rsidR="00B87DF5" w:rsidRDefault="007B1330">
            <w:pPr>
              <w:keepNext/>
              <w:spacing w:after="0"/>
            </w:pPr>
            <w:r>
              <w:rPr>
                <w:sz w:val="17"/>
              </w:rPr>
              <w:t>Demand-limit headroom, site load forecast</w:t>
            </w:r>
          </w:p>
        </w:tc>
        <w:tc>
          <w:tcPr>
            <w:tcW w:w="3969" w:type="dxa"/>
          </w:tcPr>
          <w:p w14:paraId="43F1BDF9" w14:textId="77777777" w:rsidR="00B87DF5" w:rsidRDefault="007B1330">
            <w:pPr>
              <w:keepNext/>
              <w:spacing w:after="0"/>
            </w:pPr>
            <w:r>
              <w:rPr>
                <w:sz w:val="17"/>
              </w:rPr>
              <w:t>Unbiased energy forecast; early warning when it degrades</w:t>
            </w:r>
          </w:p>
        </w:tc>
      </w:tr>
      <w:tr w:rsidR="00B87DF5" w14:paraId="232C0EBE" w14:textId="77777777">
        <w:trPr>
          <w:jc w:val="center"/>
        </w:trPr>
        <w:tc>
          <w:tcPr>
            <w:tcW w:w="2608" w:type="dxa"/>
            <w:shd w:val="clear" w:color="auto" w:fill="EAF1F8"/>
          </w:tcPr>
          <w:p w14:paraId="43D5516B" w14:textId="77777777" w:rsidR="00B87DF5" w:rsidRDefault="007B1330">
            <w:pPr>
              <w:keepNext/>
              <w:spacing w:after="0"/>
            </w:pPr>
            <w:r>
              <w:rPr>
                <w:sz w:val="17"/>
              </w:rPr>
              <w:t>Charging app / driver-experience team</w:t>
            </w:r>
          </w:p>
        </w:tc>
        <w:tc>
          <w:tcPr>
            <w:tcW w:w="3061" w:type="dxa"/>
            <w:shd w:val="clear" w:color="auto" w:fill="EAF1F8"/>
          </w:tcPr>
          <w:p w14:paraId="69A14E5C" w14:textId="77777777" w:rsidR="00B87DF5" w:rsidRDefault="007B1330">
            <w:pPr>
              <w:keepNext/>
              <w:spacing w:after="0"/>
            </w:pPr>
            <w:r>
              <w:rPr>
                <w:sz w:val="17"/>
              </w:rPr>
              <w:t>Ready-by estimate shown to the driver</w:t>
            </w:r>
          </w:p>
        </w:tc>
        <w:tc>
          <w:tcPr>
            <w:tcW w:w="3969" w:type="dxa"/>
            <w:shd w:val="clear" w:color="auto" w:fill="EAF1F8"/>
          </w:tcPr>
          <w:p w14:paraId="6C480D1D" w14:textId="77777777" w:rsidR="00B87DF5" w:rsidRDefault="007B1330">
            <w:pPr>
              <w:keepNext/>
              <w:spacing w:after="0"/>
            </w:pPr>
            <w:r>
              <w:rPr>
                <w:sz w:val="17"/>
              </w:rPr>
              <w:t>Dwell-time prediction with known error</w:t>
            </w:r>
          </w:p>
        </w:tc>
      </w:tr>
      <w:tr w:rsidR="00B87DF5" w14:paraId="5AC23E2E" w14:textId="77777777">
        <w:trPr>
          <w:jc w:val="center"/>
        </w:trPr>
        <w:tc>
          <w:tcPr>
            <w:tcW w:w="2608" w:type="dxa"/>
          </w:tcPr>
          <w:p w14:paraId="6C3E5694" w14:textId="77777777" w:rsidR="00B87DF5" w:rsidRDefault="007B1330">
            <w:pPr>
              <w:keepNext/>
              <w:spacing w:after="0"/>
            </w:pPr>
            <w:r>
              <w:rPr>
                <w:sz w:val="17"/>
              </w:rPr>
              <w:t>Smart-charging scheduler</w:t>
            </w:r>
          </w:p>
        </w:tc>
        <w:tc>
          <w:tcPr>
            <w:tcW w:w="3061" w:type="dxa"/>
          </w:tcPr>
          <w:p w14:paraId="2E8C5784" w14:textId="77777777" w:rsidR="00B87DF5" w:rsidRDefault="007B1330">
            <w:pPr>
              <w:keepNext/>
              <w:spacing w:after="0"/>
            </w:pPr>
            <w:r>
              <w:rPr>
                <w:sz w:val="17"/>
              </w:rPr>
              <w:t>Power allocation across occupied bays</w:t>
            </w:r>
          </w:p>
        </w:tc>
        <w:tc>
          <w:tcPr>
            <w:tcW w:w="3969" w:type="dxa"/>
          </w:tcPr>
          <w:p w14:paraId="59061E38" w14:textId="77777777" w:rsidR="00B87DF5" w:rsidRDefault="007B1330">
            <w:pPr>
              <w:keepNext/>
              <w:spacing w:after="0"/>
            </w:pPr>
            <w:r>
              <w:rPr>
                <w:sz w:val="17"/>
              </w:rPr>
              <w:t>Per-session energy and departure inputs at plug-in</w:t>
            </w:r>
          </w:p>
        </w:tc>
      </w:tr>
      <w:tr w:rsidR="00B87DF5" w14:paraId="56C6AF1C" w14:textId="77777777">
        <w:trPr>
          <w:jc w:val="center"/>
        </w:trPr>
        <w:tc>
          <w:tcPr>
            <w:tcW w:w="2608" w:type="dxa"/>
            <w:shd w:val="clear" w:color="auto" w:fill="EAF1F8"/>
          </w:tcPr>
          <w:p w14:paraId="68D863DE" w14:textId="77777777" w:rsidR="00B87DF5" w:rsidRDefault="007B1330">
            <w:pPr>
              <w:spacing w:after="0"/>
            </w:pPr>
            <w:r>
              <w:rPr>
                <w:sz w:val="17"/>
              </w:rPr>
              <w:t>Data governance / audit</w:t>
            </w:r>
          </w:p>
        </w:tc>
        <w:tc>
          <w:tcPr>
            <w:tcW w:w="3061" w:type="dxa"/>
            <w:shd w:val="clear" w:color="auto" w:fill="EAF1F8"/>
          </w:tcPr>
          <w:p w14:paraId="507C30D6" w14:textId="77777777" w:rsidR="00B87DF5" w:rsidRDefault="007B1330">
            <w:pPr>
              <w:spacing w:after="0"/>
            </w:pPr>
            <w:r>
              <w:rPr>
                <w:sz w:val="17"/>
              </w:rPr>
              <w:t>Provenance and release approval</w:t>
            </w:r>
          </w:p>
        </w:tc>
        <w:tc>
          <w:tcPr>
            <w:tcW w:w="3969" w:type="dxa"/>
            <w:shd w:val="clear" w:color="auto" w:fill="EAF1F8"/>
          </w:tcPr>
          <w:p w14:paraId="476A5EE1" w14:textId="77777777" w:rsidR="00B87DF5" w:rsidRDefault="007B1330">
            <w:pPr>
              <w:spacing w:after="0"/>
            </w:pPr>
            <w:r>
              <w:rPr>
                <w:sz w:val="17"/>
              </w:rPr>
              <w:t>Data fingerprints, PII audit, promotion decision log</w:t>
            </w:r>
          </w:p>
        </w:tc>
      </w:tr>
    </w:tbl>
    <w:p w14:paraId="1F38A90E" w14:textId="77777777" w:rsidR="00B87DF5" w:rsidRDefault="00B87DF5">
      <w:pPr>
        <w:spacing w:after="40"/>
      </w:pPr>
    </w:p>
    <w:p w14:paraId="5BBA366E" w14:textId="77777777" w:rsidR="00B87DF5" w:rsidRDefault="007B1330">
      <w:r>
        <w:t xml:space="preserve">The </w:t>
      </w:r>
      <w:r>
        <w:rPr>
          <w:b/>
        </w:rPr>
        <w:t>MLOps engineer owns</w:t>
      </w:r>
      <w:r>
        <w:t xml:space="preserve"> deployment, promotion, rollback, monitoring, alert response and retraining operations. </w:t>
      </w:r>
      <w:r>
        <w:rPr>
          <w:b/>
        </w:rPr>
        <w:t>Charging operations accepts or rejects</w:t>
      </w:r>
      <w:r>
        <w:t xml:space="preserve"> retrained candidates before promotion. For this academic deployment, Deva Prakash J is the acting owner and first responder. A production deployment would need a staffed on-call rota and a named operations approver (see </w:t>
      </w:r>
      <w:r>
        <w:rPr>
          <w:rFonts w:ascii="Consolas" w:hAnsi="Consolas"/>
          <w:sz w:val="19"/>
        </w:rPr>
        <w:t>docs/operations_governance.md</w:t>
      </w:r>
      <w:r>
        <w:t>).</w:t>
      </w:r>
    </w:p>
    <w:p w14:paraId="11C70A95" w14:textId="77777777" w:rsidR="00B87DF5" w:rsidRDefault="007B1330">
      <w:pPr>
        <w:pStyle w:val="Heading2"/>
      </w:pPr>
      <w:r>
        <w:t>2.5 Success criteria declared in advance</w:t>
      </w:r>
    </w:p>
    <w:p w14:paraId="1BEDA9D5" w14:textId="77777777" w:rsidR="00B87DF5" w:rsidRDefault="007B1330">
      <w:r>
        <w:t xml:space="preserve">Before scoring, I registered the hypotheses and thresholds in </w:t>
      </w:r>
      <w:r>
        <w:rPr>
          <w:rFonts w:ascii="Consolas" w:hAnsi="Consolas"/>
          <w:sz w:val="19"/>
        </w:rPr>
        <w:t>docs/drift_hypotheses.md</w:t>
      </w:r>
      <w:r>
        <w:t xml:space="preserve"> and did not revise them afterwards. H1: delivered-energy PSI &gt; 0.2 within one monthly batch of the 2020 shutdown, with a ≥ 70% volume fall at sites 0001 and 0002. H2: a ≥ 20% rise in the 90th percentile of requested energy (fleet-mix proxy). H3: a shift in the declared-vs-delivered gap (PSI &gt; 0.2 or ≥ 2 kWh median change). Recovery: retraining must return post-shift MAE to within 10% of the pre-shift validation MAE.</w:t>
      </w:r>
    </w:p>
    <w:p w14:paraId="07991099" w14:textId="77777777" w:rsidR="00B87DF5" w:rsidRDefault="007B1330">
      <w:pPr>
        <w:pStyle w:val="Heading1"/>
      </w:pPr>
      <w:bookmarkStart w:id="2" w:name="_Toc243413795"/>
      <w:r>
        <w:t>3. Data Architecture &amp; Methodology</w:t>
      </w:r>
      <w:bookmarkEnd w:id="2"/>
    </w:p>
    <w:p w14:paraId="161E643F" w14:textId="77777777" w:rsidR="00B87DF5" w:rsidRDefault="007B1330">
      <w:pPr>
        <w:pStyle w:val="Heading2"/>
      </w:pPr>
      <w:r>
        <w:t>3.1 Source, licence and provenance</w:t>
      </w:r>
    </w:p>
    <w:p w14:paraId="26F8943D" w14:textId="77777777" w:rsidR="00B87DF5" w:rsidRDefault="007B1330">
      <w:r>
        <w:rPr>
          <w:b/>
        </w:rPr>
        <w:t>ACN-Data</w:t>
      </w:r>
      <w:r>
        <w:t xml:space="preserve"> (Caltech with PowerFlex) publishes real sessions from Adaptive Charging Networks. I used three sites: 0001 (Caltech campus), 0002 (NASA JPL) and 0019 (an office site). That gives 66,745 sessions from April 2018 to September 2021, retrieved through the authenticated API. Registration binds users to educational and research </w:t>
      </w:r>
      <w:r>
        <w:lastRenderedPageBreak/>
        <w:t>use, and the publisher requests a citation (Lee, Li and Low, e-Energy '19). The terms do not address redistribution.</w:t>
      </w:r>
    </w:p>
    <w:p w14:paraId="295BA959" w14:textId="77777777" w:rsidR="00B87DF5" w:rsidRDefault="007B1330">
      <w:r>
        <w:rPr>
          <w:b/>
        </w:rPr>
        <w:t>Decision: the repository is data-free.</w:t>
      </w:r>
      <w:r>
        <w:t xml:space="preserve"> The extract is not committed, because republishing it would bypass the publisher's registration and usage tracking. Instead the repository tracks a manifest with per-site SHA-256 hashes, byte counts and session counts, the retrieval code, and benchmark files that pin the training-frame fingerprint and exact scores. Evaluators reproduce the licensed results with their own free token. A 2,579-row synthetic fixture, generated from aggregate statistics only, runs every stage without credentials. A pre-submissi</w:t>
      </w:r>
      <w:r>
        <w:t xml:space="preserve">on history audit found identifier values from one real session used as unit-test inputs; they were replaced and the finding is disclosed in </w:t>
      </w:r>
      <w:r>
        <w:rPr>
          <w:rFonts w:ascii="Consolas" w:hAnsi="Consolas"/>
          <w:sz w:val="19"/>
        </w:rPr>
        <w:t>DATA_LICENCE.md</w:t>
      </w:r>
      <w:r>
        <w:t>.</w:t>
      </w:r>
    </w:p>
    <w:p w14:paraId="3C7C9638" w14:textId="77777777" w:rsidR="00B87DF5" w:rsidRDefault="007B1330">
      <w:pPr>
        <w:pStyle w:val="Heading2"/>
      </w:pPr>
      <w:r>
        <w:t>3.2 Privacy and data quality</w:t>
      </w:r>
    </w:p>
    <w:p w14:paraId="129BC8D9" w14:textId="77777777" w:rsidR="00B87DF5" w:rsidRDefault="007B1330">
      <w:r>
        <w:t xml:space="preserve">A structure-aware PII audit (committed as </w:t>
      </w:r>
      <w:r>
        <w:rPr>
          <w:rFonts w:ascii="Consolas" w:hAnsi="Consolas"/>
          <w:sz w:val="19"/>
        </w:rPr>
        <w:t>artifacts/pii_audit.json</w:t>
      </w:r>
      <w:r>
        <w:t xml:space="preserve">) classifies every field. It found no direct PII; </w:t>
      </w:r>
      <w:r>
        <w:rPr>
          <w:rFonts w:ascii="Consolas" w:hAnsi="Consolas"/>
          <w:sz w:val="19"/>
        </w:rPr>
        <w:t>userID</w:t>
      </w:r>
      <w:r>
        <w:t xml:space="preserve"> is a pseudonymous publisher identifier. The audit recognises Mongo IDs, dashed station IDs and float representations, so it does not raise false phone or card matches. A Great Expectations contract with 16 checks gates training, and offending rows are quarantined with a reason rather than silently dropped.</w:t>
      </w:r>
    </w:p>
    <w:tbl>
      <w:tblPr>
        <w:tblStyle w:val="TableGrid"/>
        <w:tblW w:w="0" w:type="auto"/>
        <w:jc w:val="center"/>
        <w:tblLook w:val="04A0" w:firstRow="1" w:lastRow="0" w:firstColumn="1" w:lastColumn="0" w:noHBand="0" w:noVBand="1"/>
      </w:tblPr>
      <w:tblGrid>
        <w:gridCol w:w="4082"/>
        <w:gridCol w:w="2041"/>
        <w:gridCol w:w="3515"/>
      </w:tblGrid>
      <w:tr w:rsidR="00B87DF5" w14:paraId="5FC3C72B" w14:textId="77777777">
        <w:trPr>
          <w:jc w:val="center"/>
        </w:trPr>
        <w:tc>
          <w:tcPr>
            <w:tcW w:w="4082" w:type="dxa"/>
            <w:shd w:val="clear" w:color="auto" w:fill="1F4E79"/>
          </w:tcPr>
          <w:p w14:paraId="7D74F2E3" w14:textId="77777777" w:rsidR="00B87DF5" w:rsidRDefault="007B1330">
            <w:pPr>
              <w:keepNext/>
              <w:spacing w:after="0"/>
            </w:pPr>
            <w:r>
              <w:rPr>
                <w:b/>
                <w:color w:val="FFFFFF"/>
                <w:sz w:val="17"/>
              </w:rPr>
              <w:t>Defect found in the real feed</w:t>
            </w:r>
          </w:p>
        </w:tc>
        <w:tc>
          <w:tcPr>
            <w:tcW w:w="2041" w:type="dxa"/>
            <w:shd w:val="clear" w:color="auto" w:fill="1F4E79"/>
          </w:tcPr>
          <w:p w14:paraId="0A96E84D" w14:textId="77777777" w:rsidR="00B87DF5" w:rsidRDefault="007B1330">
            <w:pPr>
              <w:keepNext/>
              <w:spacing w:after="0"/>
            </w:pPr>
            <w:r>
              <w:rPr>
                <w:b/>
                <w:color w:val="FFFFFF"/>
                <w:sz w:val="17"/>
              </w:rPr>
              <w:t>Scale</w:t>
            </w:r>
          </w:p>
        </w:tc>
        <w:tc>
          <w:tcPr>
            <w:tcW w:w="3515" w:type="dxa"/>
            <w:shd w:val="clear" w:color="auto" w:fill="1F4E79"/>
          </w:tcPr>
          <w:p w14:paraId="5A5A92EF" w14:textId="77777777" w:rsidR="00B87DF5" w:rsidRDefault="007B1330">
            <w:pPr>
              <w:keepNext/>
              <w:spacing w:after="0"/>
            </w:pPr>
            <w:r>
              <w:rPr>
                <w:b/>
                <w:color w:val="FFFFFF"/>
                <w:sz w:val="17"/>
              </w:rPr>
              <w:t>Handling</w:t>
            </w:r>
          </w:p>
        </w:tc>
      </w:tr>
      <w:tr w:rsidR="00B87DF5" w14:paraId="4C3AFFA1" w14:textId="77777777">
        <w:trPr>
          <w:jc w:val="center"/>
        </w:trPr>
        <w:tc>
          <w:tcPr>
            <w:tcW w:w="4082" w:type="dxa"/>
          </w:tcPr>
          <w:p w14:paraId="74BCAF7C" w14:textId="77777777" w:rsidR="00B87DF5" w:rsidRDefault="007B1330">
            <w:pPr>
              <w:keepNext/>
              <w:spacing w:after="0"/>
            </w:pPr>
            <w:r>
              <w:rPr>
                <w:rFonts w:ascii="Consolas" w:hAnsi="Consolas"/>
                <w:sz w:val="17"/>
              </w:rPr>
              <w:t>siteID</w:t>
            </w:r>
            <w:r>
              <w:rPr>
                <w:sz w:val="17"/>
              </w:rPr>
              <w:t xml:space="preserve"> emitted as both int 2 and string "0002"</w:t>
            </w:r>
          </w:p>
        </w:tc>
        <w:tc>
          <w:tcPr>
            <w:tcW w:w="2041" w:type="dxa"/>
          </w:tcPr>
          <w:p w14:paraId="05A51359" w14:textId="77777777" w:rsidR="00B87DF5" w:rsidRDefault="007B1330">
            <w:pPr>
              <w:keepNext/>
              <w:spacing w:after="0"/>
            </w:pPr>
            <w:r>
              <w:rPr>
                <w:sz w:val="17"/>
              </w:rPr>
              <w:t>2,081 rows</w:t>
            </w:r>
          </w:p>
        </w:tc>
        <w:tc>
          <w:tcPr>
            <w:tcW w:w="3515" w:type="dxa"/>
          </w:tcPr>
          <w:p w14:paraId="28E3F501" w14:textId="77777777" w:rsidR="00B87DF5" w:rsidRDefault="007B1330">
            <w:pPr>
              <w:keepNext/>
              <w:spacing w:after="0"/>
            </w:pPr>
            <w:r>
              <w:rPr>
                <w:sz w:val="17"/>
              </w:rPr>
              <w:t>Coerced; blocking expectation</w:t>
            </w:r>
          </w:p>
        </w:tc>
      </w:tr>
      <w:tr w:rsidR="00B87DF5" w14:paraId="2F4A8B67" w14:textId="77777777">
        <w:trPr>
          <w:jc w:val="center"/>
        </w:trPr>
        <w:tc>
          <w:tcPr>
            <w:tcW w:w="4082" w:type="dxa"/>
            <w:shd w:val="clear" w:color="auto" w:fill="EAF1F8"/>
          </w:tcPr>
          <w:p w14:paraId="0E6D9C48" w14:textId="77777777" w:rsidR="00B87DF5" w:rsidRDefault="007B1330">
            <w:pPr>
              <w:keepNext/>
              <w:spacing w:after="0"/>
            </w:pPr>
            <w:r>
              <w:rPr>
                <w:rFonts w:ascii="Consolas" w:hAnsi="Consolas"/>
                <w:sz w:val="17"/>
              </w:rPr>
              <w:t>clusterID</w:t>
            </w:r>
            <w:r>
              <w:rPr>
                <w:sz w:val="17"/>
              </w:rPr>
              <w:t xml:space="preserve"> mixed int/string</w:t>
            </w:r>
          </w:p>
        </w:tc>
        <w:tc>
          <w:tcPr>
            <w:tcW w:w="2041" w:type="dxa"/>
            <w:shd w:val="clear" w:color="auto" w:fill="EAF1F8"/>
          </w:tcPr>
          <w:p w14:paraId="1E113300" w14:textId="77777777" w:rsidR="00B87DF5" w:rsidRDefault="007B1330">
            <w:pPr>
              <w:keepNext/>
              <w:spacing w:after="0"/>
            </w:pPr>
            <w:r>
              <w:rPr>
                <w:sz w:val="17"/>
              </w:rPr>
              <w:t>Crashed Parquet write</w:t>
            </w:r>
          </w:p>
        </w:tc>
        <w:tc>
          <w:tcPr>
            <w:tcW w:w="3515" w:type="dxa"/>
            <w:shd w:val="clear" w:color="auto" w:fill="EAF1F8"/>
          </w:tcPr>
          <w:p w14:paraId="14DE4D5C" w14:textId="77777777" w:rsidR="00B87DF5" w:rsidRDefault="007B1330">
            <w:pPr>
              <w:keepNext/>
              <w:spacing w:after="0"/>
            </w:pPr>
            <w:r>
              <w:rPr>
                <w:sz w:val="17"/>
              </w:rPr>
              <w:t>Coerced; blocking expectation</w:t>
            </w:r>
          </w:p>
        </w:tc>
      </w:tr>
      <w:tr w:rsidR="00B87DF5" w14:paraId="5F9F8C5F" w14:textId="77777777">
        <w:trPr>
          <w:jc w:val="center"/>
        </w:trPr>
        <w:tc>
          <w:tcPr>
            <w:tcW w:w="4082" w:type="dxa"/>
          </w:tcPr>
          <w:p w14:paraId="59D2C51C" w14:textId="77777777" w:rsidR="00B87DF5" w:rsidRDefault="007B1330">
            <w:pPr>
              <w:keepNext/>
              <w:spacing w:after="0"/>
            </w:pPr>
            <w:r>
              <w:rPr>
                <w:sz w:val="17"/>
              </w:rPr>
              <w:t>Sessions of 245 h and 214 h</w:t>
            </w:r>
          </w:p>
        </w:tc>
        <w:tc>
          <w:tcPr>
            <w:tcW w:w="2041" w:type="dxa"/>
          </w:tcPr>
          <w:p w14:paraId="05E0A315" w14:textId="77777777" w:rsidR="00B87DF5" w:rsidRDefault="007B1330">
            <w:pPr>
              <w:keepNext/>
              <w:spacing w:after="0"/>
            </w:pPr>
            <w:r>
              <w:rPr>
                <w:sz w:val="17"/>
              </w:rPr>
              <w:t>2 rows</w:t>
            </w:r>
          </w:p>
        </w:tc>
        <w:tc>
          <w:tcPr>
            <w:tcW w:w="3515" w:type="dxa"/>
          </w:tcPr>
          <w:p w14:paraId="15DD234A" w14:textId="77777777" w:rsidR="00B87DF5" w:rsidRDefault="007B1330">
            <w:pPr>
              <w:keepNext/>
              <w:spacing w:after="0"/>
            </w:pPr>
            <w:r>
              <w:rPr>
                <w:sz w:val="17"/>
              </w:rPr>
              <w:t>Quarantined with reason (66,743 clean rows)</w:t>
            </w:r>
          </w:p>
        </w:tc>
      </w:tr>
      <w:tr w:rsidR="00B87DF5" w14:paraId="26749A0D" w14:textId="77777777">
        <w:trPr>
          <w:jc w:val="center"/>
        </w:trPr>
        <w:tc>
          <w:tcPr>
            <w:tcW w:w="4082" w:type="dxa"/>
            <w:shd w:val="clear" w:color="auto" w:fill="EAF1F8"/>
          </w:tcPr>
          <w:p w14:paraId="06D90516" w14:textId="77777777" w:rsidR="00B87DF5" w:rsidRDefault="007B1330">
            <w:pPr>
              <w:spacing w:after="0"/>
            </w:pPr>
            <w:r>
              <w:rPr>
                <w:sz w:val="17"/>
              </w:rPr>
              <w:t>Timestamp order, station namespace, declared/delivered plausibility</w:t>
            </w:r>
          </w:p>
        </w:tc>
        <w:tc>
          <w:tcPr>
            <w:tcW w:w="2041" w:type="dxa"/>
            <w:shd w:val="clear" w:color="auto" w:fill="EAF1F8"/>
          </w:tcPr>
          <w:p w14:paraId="4EA4D809" w14:textId="77777777" w:rsidR="00B87DF5" w:rsidRDefault="007B1330">
            <w:pPr>
              <w:spacing w:after="0"/>
            </w:pPr>
            <w:r>
              <w:rPr>
                <w:sz w:val="17"/>
              </w:rPr>
              <w:t>16 checks in total</w:t>
            </w:r>
          </w:p>
        </w:tc>
        <w:tc>
          <w:tcPr>
            <w:tcW w:w="3515" w:type="dxa"/>
            <w:shd w:val="clear" w:color="auto" w:fill="EAF1F8"/>
          </w:tcPr>
          <w:p w14:paraId="2500B035" w14:textId="77777777" w:rsidR="00B87DF5" w:rsidRDefault="007B1330">
            <w:pPr>
              <w:spacing w:after="0"/>
            </w:pPr>
            <w:r>
              <w:rPr>
                <w:sz w:val="17"/>
              </w:rPr>
              <w:t>Site-specific domains; documented tolerances</w:t>
            </w:r>
          </w:p>
        </w:tc>
      </w:tr>
    </w:tbl>
    <w:p w14:paraId="6246B26C" w14:textId="77777777" w:rsidR="00B87DF5" w:rsidRDefault="00B87DF5">
      <w:pPr>
        <w:spacing w:after="40"/>
      </w:pPr>
    </w:p>
    <w:p w14:paraId="4D37C0EF" w14:textId="77777777" w:rsidR="00B87DF5" w:rsidRDefault="007B1330">
      <w:pPr>
        <w:pStyle w:val="Heading2"/>
      </w:pPr>
      <w:r>
        <w:t>3.3 Leakage controls and features</w:t>
      </w:r>
    </w:p>
    <w:p w14:paraId="6EF179A5" w14:textId="77777777" w:rsidR="00B87DF5" w:rsidRDefault="007B1330">
      <w:r>
        <w:t xml:space="preserve">The model predicts at plug-in time, so only information available at that moment may enter the feature matrix. </w:t>
      </w:r>
      <w:r>
        <w:rPr>
          <w:rFonts w:ascii="Consolas" w:hAnsi="Consolas"/>
          <w:sz w:val="19"/>
        </w:rPr>
        <w:t>userInputs</w:t>
      </w:r>
      <w:r>
        <w:t xml:space="preserve"> is a list of driver revisions, and only the earliest entry is used. </w:t>
      </w:r>
      <w:r>
        <w:rPr>
          <w:rFonts w:ascii="Consolas" w:hAnsi="Consolas"/>
          <w:sz w:val="19"/>
        </w:rPr>
        <w:t>disconnectTime</w:t>
      </w:r>
      <w:r>
        <w:t xml:space="preserve">, </w:t>
      </w:r>
      <w:r>
        <w:rPr>
          <w:rFonts w:ascii="Consolas" w:hAnsi="Consolas"/>
          <w:sz w:val="19"/>
        </w:rPr>
        <w:t>doneChargingTime</w:t>
      </w:r>
      <w:r>
        <w:t xml:space="preserve"> and the targets are declared post-hoc in </w:t>
      </w:r>
      <w:r>
        <w:rPr>
          <w:rFonts w:ascii="Consolas" w:hAnsi="Consolas"/>
          <w:sz w:val="19"/>
        </w:rPr>
        <w:t>configs/data.yaml</w:t>
      </w:r>
      <w:r>
        <w:t xml:space="preserve"> and rejected by the feature builder and the API. Features fall into three groups:</w:t>
      </w:r>
    </w:p>
    <w:p w14:paraId="40D4B391" w14:textId="77777777" w:rsidR="00B87DF5" w:rsidRDefault="007B1330">
      <w:pPr>
        <w:pStyle w:val="ListBullet"/>
        <w:spacing w:after="40"/>
      </w:pPr>
      <w:r>
        <w:rPr>
          <w:b/>
        </w:rPr>
        <w:t>Declared intent:</w:t>
      </w:r>
      <w:r>
        <w:t xml:space="preserve"> </w:t>
      </w:r>
      <w:r>
        <w:rPr>
          <w:rFonts w:ascii="Consolas" w:hAnsi="Consolas"/>
          <w:sz w:val="19"/>
        </w:rPr>
        <w:t>kWhRequested</w:t>
      </w:r>
      <w:r>
        <w:t xml:space="preserve">, </w:t>
      </w:r>
      <w:r>
        <w:rPr>
          <w:rFonts w:ascii="Consolas" w:hAnsi="Consolas"/>
          <w:sz w:val="19"/>
        </w:rPr>
        <w:t>milesRequested</w:t>
      </w:r>
      <w:r>
        <w:t xml:space="preserve">, </w:t>
      </w:r>
      <w:r>
        <w:rPr>
          <w:rFonts w:ascii="Consolas" w:hAnsi="Consolas"/>
          <w:sz w:val="19"/>
        </w:rPr>
        <w:t>WhPerMile</w:t>
      </w:r>
      <w:r>
        <w:t xml:space="preserve">, </w:t>
      </w:r>
      <w:r>
        <w:rPr>
          <w:rFonts w:ascii="Consolas" w:hAnsi="Consolas"/>
          <w:sz w:val="19"/>
        </w:rPr>
        <w:t>minutesAvailable</w:t>
      </w:r>
      <w:r>
        <w:t xml:space="preserve">, plus the derived declared duration and declared kWh per minute. A </w:t>
      </w:r>
      <w:r>
        <w:rPr>
          <w:rFonts w:ascii="Consolas" w:hAnsi="Consolas"/>
          <w:sz w:val="19"/>
        </w:rPr>
        <w:t>has_user_inputs</w:t>
      </w:r>
      <w:r>
        <w:t xml:space="preserve"> flag keeps the 27% of sessions with no request explicit, and missing values stay NaN.</w:t>
      </w:r>
    </w:p>
    <w:p w14:paraId="3AF988A2" w14:textId="77777777" w:rsidR="00B87DF5" w:rsidRDefault="007B1330">
      <w:pPr>
        <w:pStyle w:val="ListBullet"/>
        <w:spacing w:after="40"/>
      </w:pPr>
      <w:r>
        <w:rPr>
          <w:b/>
        </w:rPr>
        <w:t>Calendar:</w:t>
      </w:r>
      <w:r>
        <w:t xml:space="preserve"> arrival hour (raw and sine/cosine), day of week, month and weekend flag, all in the site's local time.</w:t>
      </w:r>
    </w:p>
    <w:p w14:paraId="11FB8938" w14:textId="77777777" w:rsidR="00B87DF5" w:rsidRDefault="007B1330">
      <w:pPr>
        <w:pStyle w:val="ListBullet"/>
        <w:spacing w:after="40"/>
      </w:pPr>
      <w:r>
        <w:rPr>
          <w:b/>
        </w:rPr>
        <w:t>Location:</w:t>
      </w:r>
      <w:r>
        <w:t xml:space="preserve"> site, cluster and station codes from a vocabulary fitted on training data only; unseen values map to an explicit unknown code.</w:t>
      </w:r>
    </w:p>
    <w:p w14:paraId="79CBDF10" w14:textId="77777777" w:rsidR="00B87DF5" w:rsidRDefault="007B1330">
      <w:r>
        <w:t xml:space="preserve">Rolling site occupancy was proposed but is </w:t>
      </w:r>
      <w:r>
        <w:rPr>
          <w:b/>
        </w:rPr>
        <w:t>deferred</w:t>
      </w:r>
      <w:r>
        <w:t>. It needs a point-in-time as-of join that has not yet passed a parity and leakage audit, and shipping it unaudited would risk exactly the skew this project guards against.</w:t>
      </w:r>
    </w:p>
    <w:p w14:paraId="1D397215" w14:textId="77777777" w:rsidR="00B87DF5" w:rsidRDefault="007B1330">
      <w:pPr>
        <w:pStyle w:val="Heading2"/>
      </w:pPr>
      <w:r>
        <w:t>3.4 Evaluation design</w:t>
      </w:r>
    </w:p>
    <w:tbl>
      <w:tblPr>
        <w:tblStyle w:val="TableGrid"/>
        <w:tblW w:w="0" w:type="auto"/>
        <w:jc w:val="center"/>
        <w:tblLook w:val="04A0" w:firstRow="1" w:lastRow="0" w:firstColumn="1" w:lastColumn="0" w:noHBand="0" w:noVBand="1"/>
      </w:tblPr>
      <w:tblGrid>
        <w:gridCol w:w="1474"/>
        <w:gridCol w:w="2381"/>
        <w:gridCol w:w="1134"/>
        <w:gridCol w:w="4649"/>
      </w:tblGrid>
      <w:tr w:rsidR="00B87DF5" w14:paraId="31AEBD63" w14:textId="77777777">
        <w:trPr>
          <w:jc w:val="center"/>
        </w:trPr>
        <w:tc>
          <w:tcPr>
            <w:tcW w:w="1474" w:type="dxa"/>
            <w:shd w:val="clear" w:color="auto" w:fill="1F4E79"/>
          </w:tcPr>
          <w:p w14:paraId="3FDA607A" w14:textId="77777777" w:rsidR="00B87DF5" w:rsidRDefault="007B1330">
            <w:pPr>
              <w:keepNext/>
              <w:spacing w:after="0"/>
            </w:pPr>
            <w:r>
              <w:rPr>
                <w:b/>
                <w:color w:val="FFFFFF"/>
                <w:sz w:val="17"/>
              </w:rPr>
              <w:t>Split</w:t>
            </w:r>
          </w:p>
        </w:tc>
        <w:tc>
          <w:tcPr>
            <w:tcW w:w="2381" w:type="dxa"/>
            <w:shd w:val="clear" w:color="auto" w:fill="1F4E79"/>
          </w:tcPr>
          <w:p w14:paraId="37B401C9" w14:textId="77777777" w:rsidR="00B87DF5" w:rsidRDefault="007B1330">
            <w:pPr>
              <w:keepNext/>
              <w:spacing w:after="0"/>
            </w:pPr>
            <w:r>
              <w:rPr>
                <w:b/>
                <w:color w:val="FFFFFF"/>
                <w:sz w:val="17"/>
              </w:rPr>
              <w:t>Window (local time)</w:t>
            </w:r>
          </w:p>
        </w:tc>
        <w:tc>
          <w:tcPr>
            <w:tcW w:w="1134" w:type="dxa"/>
            <w:shd w:val="clear" w:color="auto" w:fill="1F4E79"/>
          </w:tcPr>
          <w:p w14:paraId="0FB55137" w14:textId="77777777" w:rsidR="00B87DF5" w:rsidRDefault="007B1330">
            <w:pPr>
              <w:keepNext/>
              <w:spacing w:after="0"/>
            </w:pPr>
            <w:r>
              <w:rPr>
                <w:b/>
                <w:color w:val="FFFFFF"/>
                <w:sz w:val="17"/>
              </w:rPr>
              <w:t>Rows</w:t>
            </w:r>
          </w:p>
        </w:tc>
        <w:tc>
          <w:tcPr>
            <w:tcW w:w="4649" w:type="dxa"/>
            <w:shd w:val="clear" w:color="auto" w:fill="1F4E79"/>
          </w:tcPr>
          <w:p w14:paraId="39F9729D" w14:textId="77777777" w:rsidR="00B87DF5" w:rsidRDefault="007B1330">
            <w:pPr>
              <w:keepNext/>
              <w:spacing w:after="0"/>
            </w:pPr>
            <w:r>
              <w:rPr>
                <w:b/>
                <w:color w:val="FFFFFF"/>
                <w:sz w:val="17"/>
              </w:rPr>
              <w:t>Purpose</w:t>
            </w:r>
          </w:p>
        </w:tc>
      </w:tr>
      <w:tr w:rsidR="00B87DF5" w14:paraId="15833B39" w14:textId="77777777">
        <w:trPr>
          <w:jc w:val="center"/>
        </w:trPr>
        <w:tc>
          <w:tcPr>
            <w:tcW w:w="1474" w:type="dxa"/>
          </w:tcPr>
          <w:p w14:paraId="17A45C54" w14:textId="77777777" w:rsidR="00B87DF5" w:rsidRDefault="007B1330">
            <w:pPr>
              <w:keepNext/>
              <w:spacing w:after="0"/>
            </w:pPr>
            <w:r>
              <w:rPr>
                <w:sz w:val="17"/>
              </w:rPr>
              <w:t>Train</w:t>
            </w:r>
          </w:p>
        </w:tc>
        <w:tc>
          <w:tcPr>
            <w:tcW w:w="2381" w:type="dxa"/>
          </w:tcPr>
          <w:p w14:paraId="1776C26F" w14:textId="77777777" w:rsidR="00B87DF5" w:rsidRDefault="007B1330">
            <w:pPr>
              <w:keepNext/>
              <w:spacing w:after="0"/>
            </w:pPr>
            <w:r>
              <w:rPr>
                <w:sz w:val="17"/>
              </w:rPr>
              <w:t>2018-04 to 2019-12</w:t>
            </w:r>
          </w:p>
        </w:tc>
        <w:tc>
          <w:tcPr>
            <w:tcW w:w="1134" w:type="dxa"/>
          </w:tcPr>
          <w:p w14:paraId="420DCD7A" w14:textId="77777777" w:rsidR="00B87DF5" w:rsidRDefault="007B1330">
            <w:pPr>
              <w:keepNext/>
              <w:spacing w:after="0"/>
            </w:pPr>
            <w:r>
              <w:rPr>
                <w:sz w:val="17"/>
              </w:rPr>
              <w:t>48,957</w:t>
            </w:r>
          </w:p>
        </w:tc>
        <w:tc>
          <w:tcPr>
            <w:tcW w:w="4649" w:type="dxa"/>
          </w:tcPr>
          <w:p w14:paraId="2690A128" w14:textId="77777777" w:rsidR="00B87DF5" w:rsidRDefault="007B1330">
            <w:pPr>
              <w:keepNext/>
              <w:spacing w:after="0"/>
            </w:pPr>
            <w:r>
              <w:rPr>
                <w:sz w:val="17"/>
              </w:rPr>
              <w:t>Fit models and feature vocabulary</w:t>
            </w:r>
          </w:p>
        </w:tc>
      </w:tr>
      <w:tr w:rsidR="00B87DF5" w14:paraId="2CCC8B9C" w14:textId="77777777">
        <w:trPr>
          <w:jc w:val="center"/>
        </w:trPr>
        <w:tc>
          <w:tcPr>
            <w:tcW w:w="1474" w:type="dxa"/>
            <w:shd w:val="clear" w:color="auto" w:fill="EAF1F8"/>
          </w:tcPr>
          <w:p w14:paraId="6683BC51" w14:textId="77777777" w:rsidR="00B87DF5" w:rsidRDefault="007B1330">
            <w:pPr>
              <w:keepNext/>
              <w:spacing w:after="0"/>
            </w:pPr>
            <w:r>
              <w:rPr>
                <w:sz w:val="17"/>
              </w:rPr>
              <w:t>Validation</w:t>
            </w:r>
          </w:p>
        </w:tc>
        <w:tc>
          <w:tcPr>
            <w:tcW w:w="2381" w:type="dxa"/>
            <w:shd w:val="clear" w:color="auto" w:fill="EAF1F8"/>
          </w:tcPr>
          <w:p w14:paraId="66DC5B9F" w14:textId="77777777" w:rsidR="00B87DF5" w:rsidRDefault="007B1330">
            <w:pPr>
              <w:keepNext/>
              <w:spacing w:after="0"/>
            </w:pPr>
            <w:r>
              <w:rPr>
                <w:sz w:val="17"/>
              </w:rPr>
              <w:t>2020-01 to 2020-02</w:t>
            </w:r>
          </w:p>
        </w:tc>
        <w:tc>
          <w:tcPr>
            <w:tcW w:w="1134" w:type="dxa"/>
            <w:shd w:val="clear" w:color="auto" w:fill="EAF1F8"/>
          </w:tcPr>
          <w:p w14:paraId="2EB3C7B1" w14:textId="77777777" w:rsidR="00B87DF5" w:rsidRDefault="007B1330">
            <w:pPr>
              <w:keepNext/>
              <w:spacing w:after="0"/>
            </w:pPr>
            <w:r>
              <w:rPr>
                <w:sz w:val="17"/>
              </w:rPr>
              <w:t>4,815</w:t>
            </w:r>
          </w:p>
        </w:tc>
        <w:tc>
          <w:tcPr>
            <w:tcW w:w="4649" w:type="dxa"/>
            <w:shd w:val="clear" w:color="auto" w:fill="EAF1F8"/>
          </w:tcPr>
          <w:p w14:paraId="42009E7A" w14:textId="77777777" w:rsidR="00B87DF5" w:rsidRDefault="007B1330">
            <w:pPr>
              <w:keepNext/>
              <w:spacing w:after="0"/>
            </w:pPr>
            <w:r>
              <w:rPr>
                <w:sz w:val="17"/>
              </w:rPr>
              <w:t>Model selection and promotion gate</w:t>
            </w:r>
          </w:p>
        </w:tc>
      </w:tr>
      <w:tr w:rsidR="00B87DF5" w14:paraId="01F224A9" w14:textId="77777777">
        <w:trPr>
          <w:jc w:val="center"/>
        </w:trPr>
        <w:tc>
          <w:tcPr>
            <w:tcW w:w="1474" w:type="dxa"/>
          </w:tcPr>
          <w:p w14:paraId="3E14989E" w14:textId="77777777" w:rsidR="00B87DF5" w:rsidRDefault="007B1330">
            <w:pPr>
              <w:keepNext/>
              <w:spacing w:after="0"/>
            </w:pPr>
            <w:r>
              <w:rPr>
                <w:sz w:val="17"/>
              </w:rPr>
              <w:t>(excluded)</w:t>
            </w:r>
          </w:p>
        </w:tc>
        <w:tc>
          <w:tcPr>
            <w:tcW w:w="2381" w:type="dxa"/>
          </w:tcPr>
          <w:p w14:paraId="372FC109" w14:textId="77777777" w:rsidR="00B87DF5" w:rsidRDefault="007B1330">
            <w:pPr>
              <w:keepNext/>
              <w:spacing w:after="0"/>
            </w:pPr>
            <w:r>
              <w:rPr>
                <w:sz w:val="17"/>
              </w:rPr>
              <w:t>2020-03</w:t>
            </w:r>
          </w:p>
        </w:tc>
        <w:tc>
          <w:tcPr>
            <w:tcW w:w="1134" w:type="dxa"/>
          </w:tcPr>
          <w:p w14:paraId="3E0D55BB" w14:textId="77777777" w:rsidR="00B87DF5" w:rsidRDefault="007B1330">
            <w:pPr>
              <w:keepNext/>
              <w:spacing w:after="0"/>
            </w:pPr>
            <w:r>
              <w:rPr>
                <w:sz w:val="17"/>
              </w:rPr>
              <w:t>—</w:t>
            </w:r>
          </w:p>
        </w:tc>
        <w:tc>
          <w:tcPr>
            <w:tcW w:w="4649" w:type="dxa"/>
          </w:tcPr>
          <w:p w14:paraId="209EAA26" w14:textId="77777777" w:rsidR="00B87DF5" w:rsidRDefault="007B1330">
            <w:pPr>
              <w:keepNext/>
              <w:spacing w:after="0"/>
            </w:pPr>
            <w:r>
              <w:rPr>
                <w:sz w:val="17"/>
              </w:rPr>
              <w:t>Transition month, not used for scoring</w:t>
            </w:r>
          </w:p>
        </w:tc>
      </w:tr>
      <w:tr w:rsidR="00B87DF5" w14:paraId="52C9095E" w14:textId="77777777">
        <w:trPr>
          <w:jc w:val="center"/>
        </w:trPr>
        <w:tc>
          <w:tcPr>
            <w:tcW w:w="1474" w:type="dxa"/>
            <w:shd w:val="clear" w:color="auto" w:fill="EAF1F8"/>
          </w:tcPr>
          <w:p w14:paraId="41752B5B" w14:textId="77777777" w:rsidR="00B87DF5" w:rsidRDefault="007B1330">
            <w:pPr>
              <w:spacing w:after="0"/>
            </w:pPr>
            <w:r>
              <w:rPr>
                <w:sz w:val="17"/>
              </w:rPr>
              <w:t>Post-shift</w:t>
            </w:r>
          </w:p>
        </w:tc>
        <w:tc>
          <w:tcPr>
            <w:tcW w:w="2381" w:type="dxa"/>
            <w:shd w:val="clear" w:color="auto" w:fill="EAF1F8"/>
          </w:tcPr>
          <w:p w14:paraId="470D123C" w14:textId="77777777" w:rsidR="00B87DF5" w:rsidRDefault="007B1330">
            <w:pPr>
              <w:spacing w:after="0"/>
            </w:pPr>
            <w:r>
              <w:rPr>
                <w:sz w:val="17"/>
              </w:rPr>
              <w:t>2020-04 to 2020-06</w:t>
            </w:r>
          </w:p>
        </w:tc>
        <w:tc>
          <w:tcPr>
            <w:tcW w:w="1134" w:type="dxa"/>
            <w:shd w:val="clear" w:color="auto" w:fill="EAF1F8"/>
          </w:tcPr>
          <w:p w14:paraId="5B815FE9" w14:textId="77777777" w:rsidR="00B87DF5" w:rsidRDefault="007B1330">
            <w:pPr>
              <w:spacing w:after="0"/>
            </w:pPr>
            <w:r>
              <w:rPr>
                <w:sz w:val="17"/>
              </w:rPr>
              <w:t>942</w:t>
            </w:r>
          </w:p>
        </w:tc>
        <w:tc>
          <w:tcPr>
            <w:tcW w:w="4649" w:type="dxa"/>
            <w:shd w:val="clear" w:color="auto" w:fill="EAF1F8"/>
          </w:tcPr>
          <w:p w14:paraId="0D495EDD" w14:textId="77777777" w:rsidR="00B87DF5" w:rsidRDefault="007B1330">
            <w:pPr>
              <w:spacing w:after="0"/>
            </w:pPr>
            <w:r>
              <w:rPr>
                <w:sz w:val="17"/>
              </w:rPr>
              <w:t>Same fitted model scored after the regime change</w:t>
            </w:r>
          </w:p>
        </w:tc>
      </w:tr>
    </w:tbl>
    <w:p w14:paraId="05794720" w14:textId="77777777" w:rsidR="00B87DF5" w:rsidRDefault="00B87DF5">
      <w:pPr>
        <w:spacing w:after="40"/>
      </w:pPr>
    </w:p>
    <w:p w14:paraId="18AA404A" w14:textId="77777777" w:rsidR="00B87DF5" w:rsidRDefault="007B1330">
      <w:r>
        <w:t>The split is temporal, never random, because a random split would leak post-shift behaviour into training. Every candidate must beat two floors, the training mean and a Ridge regression, so added complexity has to earn its place. The candidate model is scikit-learn's HistGradientBoostingRegressor, which handles missing declared inputs natively. Errors are reported overall and by site.</w:t>
      </w:r>
    </w:p>
    <w:p w14:paraId="56710A0F" w14:textId="77777777" w:rsidR="00B87DF5" w:rsidRDefault="007B1330">
      <w:pPr>
        <w:pStyle w:val="Heading2"/>
      </w:pPr>
      <w:r>
        <w:lastRenderedPageBreak/>
        <w:t>3.5 Architecture decisions</w:t>
      </w:r>
    </w:p>
    <w:p w14:paraId="499BBD9C" w14:textId="77777777" w:rsidR="00B87DF5" w:rsidRDefault="007B1330">
      <w:pPr>
        <w:keepNext/>
        <w:jc w:val="center"/>
      </w:pPr>
      <w:r>
        <w:rPr>
          <w:noProof/>
        </w:rPr>
        <w:drawing>
          <wp:inline distT="0" distB="0" distL="0" distR="0" wp14:anchorId="3B079261" wp14:editId="2C875A6C">
            <wp:extent cx="6120000" cy="1200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8"/>
                    <a:stretch>
                      <a:fillRect/>
                    </a:stretch>
                  </pic:blipFill>
                  <pic:spPr>
                    <a:xfrm>
                      <a:off x="0" y="0"/>
                      <a:ext cx="6120000" cy="1200742"/>
                    </a:xfrm>
                    <a:prstGeom prst="rect">
                      <a:avLst/>
                    </a:prstGeom>
                  </pic:spPr>
                </pic:pic>
              </a:graphicData>
            </a:graphic>
          </wp:inline>
        </w:drawing>
      </w:r>
    </w:p>
    <w:p w14:paraId="76C5F38B" w14:textId="77777777" w:rsidR="00B87DF5" w:rsidRDefault="007B1330">
      <w:pPr>
        <w:spacing w:after="160"/>
        <w:jc w:val="center"/>
      </w:pPr>
      <w:r>
        <w:rPr>
          <w:i/>
          <w:sz w:val="17"/>
        </w:rPr>
        <w:t>Figure 1. End-to-end control loop (simplified). The detailed V2 component diagram is in Appendix C.</w:t>
      </w:r>
    </w:p>
    <w:tbl>
      <w:tblPr>
        <w:tblStyle w:val="TableGrid"/>
        <w:tblW w:w="0" w:type="auto"/>
        <w:jc w:val="center"/>
        <w:tblLook w:val="04A0" w:firstRow="1" w:lastRow="0" w:firstColumn="1" w:lastColumn="0" w:noHBand="0" w:noVBand="1"/>
      </w:tblPr>
      <w:tblGrid>
        <w:gridCol w:w="2381"/>
        <w:gridCol w:w="2041"/>
        <w:gridCol w:w="5216"/>
      </w:tblGrid>
      <w:tr w:rsidR="00B87DF5" w14:paraId="3AC0CA9D" w14:textId="77777777">
        <w:trPr>
          <w:jc w:val="center"/>
        </w:trPr>
        <w:tc>
          <w:tcPr>
            <w:tcW w:w="2381" w:type="dxa"/>
            <w:shd w:val="clear" w:color="auto" w:fill="1F4E79"/>
          </w:tcPr>
          <w:p w14:paraId="231D0E97" w14:textId="77777777" w:rsidR="00B87DF5" w:rsidRDefault="007B1330">
            <w:pPr>
              <w:keepNext/>
              <w:spacing w:after="0"/>
            </w:pPr>
            <w:r>
              <w:rPr>
                <w:b/>
                <w:color w:val="FFFFFF"/>
                <w:sz w:val="17"/>
              </w:rPr>
              <w:t>Decision</w:t>
            </w:r>
          </w:p>
        </w:tc>
        <w:tc>
          <w:tcPr>
            <w:tcW w:w="2041" w:type="dxa"/>
            <w:shd w:val="clear" w:color="auto" w:fill="1F4E79"/>
          </w:tcPr>
          <w:p w14:paraId="2CC56A55" w14:textId="77777777" w:rsidR="00B87DF5" w:rsidRDefault="007B1330">
            <w:pPr>
              <w:keepNext/>
              <w:spacing w:after="0"/>
            </w:pPr>
            <w:r>
              <w:rPr>
                <w:b/>
                <w:color w:val="FFFFFF"/>
                <w:sz w:val="17"/>
              </w:rPr>
              <w:t>Alternative rejected</w:t>
            </w:r>
          </w:p>
        </w:tc>
        <w:tc>
          <w:tcPr>
            <w:tcW w:w="5216" w:type="dxa"/>
            <w:shd w:val="clear" w:color="auto" w:fill="1F4E79"/>
          </w:tcPr>
          <w:p w14:paraId="2C8D108D" w14:textId="77777777" w:rsidR="00B87DF5" w:rsidRDefault="007B1330">
            <w:pPr>
              <w:keepNext/>
              <w:spacing w:after="0"/>
            </w:pPr>
            <w:r>
              <w:rPr>
                <w:b/>
                <w:color w:val="FFFFFF"/>
                <w:sz w:val="17"/>
              </w:rPr>
              <w:t>Justification</w:t>
            </w:r>
          </w:p>
        </w:tc>
      </w:tr>
      <w:tr w:rsidR="00B87DF5" w14:paraId="6BA87A8B" w14:textId="77777777">
        <w:trPr>
          <w:jc w:val="center"/>
        </w:trPr>
        <w:tc>
          <w:tcPr>
            <w:tcW w:w="2381" w:type="dxa"/>
          </w:tcPr>
          <w:p w14:paraId="1129B743" w14:textId="77777777" w:rsidR="00B87DF5" w:rsidRDefault="007B1330">
            <w:pPr>
              <w:keepNext/>
              <w:spacing w:after="0"/>
            </w:pPr>
            <w:r>
              <w:rPr>
                <w:sz w:val="17"/>
              </w:rPr>
              <w:t>HistGradientBoosting</w:t>
            </w:r>
          </w:p>
        </w:tc>
        <w:tc>
          <w:tcPr>
            <w:tcW w:w="2041" w:type="dxa"/>
          </w:tcPr>
          <w:p w14:paraId="08685119" w14:textId="77777777" w:rsidR="00B87DF5" w:rsidRDefault="007B1330">
            <w:pPr>
              <w:keepNext/>
              <w:spacing w:after="0"/>
            </w:pPr>
            <w:r>
              <w:rPr>
                <w:sz w:val="17"/>
              </w:rPr>
              <w:t>LightGBM (proposal)</w:t>
            </w:r>
          </w:p>
        </w:tc>
        <w:tc>
          <w:tcPr>
            <w:tcW w:w="5216" w:type="dxa"/>
          </w:tcPr>
          <w:p w14:paraId="24FBD1B3" w14:textId="77777777" w:rsidR="00B87DF5" w:rsidRDefault="007B1330">
            <w:pPr>
              <w:keepNext/>
              <w:spacing w:after="0"/>
            </w:pPr>
            <w:r>
              <w:rPr>
                <w:sz w:val="17"/>
              </w:rPr>
              <w:t>LightGBM crashes the process on Windows when pyarrow loads first (OpenMP runtime conflict); same algorithm family, native NaN support</w:t>
            </w:r>
          </w:p>
        </w:tc>
      </w:tr>
      <w:tr w:rsidR="00B87DF5" w14:paraId="030296B4" w14:textId="77777777">
        <w:trPr>
          <w:jc w:val="center"/>
        </w:trPr>
        <w:tc>
          <w:tcPr>
            <w:tcW w:w="2381" w:type="dxa"/>
            <w:shd w:val="clear" w:color="auto" w:fill="EAF1F8"/>
          </w:tcPr>
          <w:p w14:paraId="39722161" w14:textId="77777777" w:rsidR="00B87DF5" w:rsidRDefault="007B1330">
            <w:pPr>
              <w:keepNext/>
              <w:spacing w:after="0"/>
            </w:pPr>
            <w:r>
              <w:rPr>
                <w:sz w:val="17"/>
              </w:rPr>
              <w:t>Great Expectations contract</w:t>
            </w:r>
          </w:p>
        </w:tc>
        <w:tc>
          <w:tcPr>
            <w:tcW w:w="2041" w:type="dxa"/>
            <w:shd w:val="clear" w:color="auto" w:fill="EAF1F8"/>
          </w:tcPr>
          <w:p w14:paraId="6A775BE1" w14:textId="77777777" w:rsidR="00B87DF5" w:rsidRDefault="007B1330">
            <w:pPr>
              <w:keepNext/>
              <w:spacing w:after="0"/>
            </w:pPr>
            <w:r>
              <w:rPr>
                <w:sz w:val="17"/>
              </w:rPr>
              <w:t>Pandera, ad-hoc asserts</w:t>
            </w:r>
          </w:p>
        </w:tc>
        <w:tc>
          <w:tcPr>
            <w:tcW w:w="5216" w:type="dxa"/>
            <w:shd w:val="clear" w:color="auto" w:fill="EAF1F8"/>
          </w:tcPr>
          <w:p w14:paraId="000CB82F" w14:textId="77777777" w:rsidR="00B87DF5" w:rsidRDefault="007B1330">
            <w:pPr>
              <w:keepNext/>
              <w:spacing w:after="0"/>
            </w:pPr>
            <w:r>
              <w:rPr>
                <w:sz w:val="17"/>
              </w:rPr>
              <w:t>Serialisable per-expectation results give auditable evidence for quarantine decisions</w:t>
            </w:r>
          </w:p>
        </w:tc>
      </w:tr>
      <w:tr w:rsidR="00B87DF5" w14:paraId="7F06841E" w14:textId="77777777">
        <w:trPr>
          <w:jc w:val="center"/>
        </w:trPr>
        <w:tc>
          <w:tcPr>
            <w:tcW w:w="2381" w:type="dxa"/>
          </w:tcPr>
          <w:p w14:paraId="155C30A4" w14:textId="77777777" w:rsidR="00B87DF5" w:rsidRDefault="007B1330">
            <w:pPr>
              <w:keepNext/>
              <w:spacing w:after="0"/>
            </w:pPr>
            <w:r>
              <w:rPr>
                <w:sz w:val="17"/>
              </w:rPr>
              <w:t xml:space="preserve">MLflow aliases </w:t>
            </w:r>
            <w:r>
              <w:rPr>
                <w:rFonts w:ascii="Consolas" w:hAnsi="Consolas"/>
                <w:sz w:val="17"/>
              </w:rPr>
              <w:t>staging</w:t>
            </w:r>
            <w:r>
              <w:rPr>
                <w:sz w:val="17"/>
              </w:rPr>
              <w:t>/</w:t>
            </w:r>
            <w:r>
              <w:rPr>
                <w:rFonts w:ascii="Consolas" w:hAnsi="Consolas"/>
                <w:sz w:val="17"/>
              </w:rPr>
              <w:t>production</w:t>
            </w:r>
          </w:p>
        </w:tc>
        <w:tc>
          <w:tcPr>
            <w:tcW w:w="2041" w:type="dxa"/>
          </w:tcPr>
          <w:p w14:paraId="0CC2BC05" w14:textId="77777777" w:rsidR="00B87DF5" w:rsidRDefault="007B1330">
            <w:pPr>
              <w:keepNext/>
              <w:spacing w:after="0"/>
            </w:pPr>
            <w:r>
              <w:rPr>
                <w:sz w:val="17"/>
              </w:rPr>
              <w:t>MLflow stages, W&amp;B</w:t>
            </w:r>
          </w:p>
        </w:tc>
        <w:tc>
          <w:tcPr>
            <w:tcW w:w="5216" w:type="dxa"/>
          </w:tcPr>
          <w:p w14:paraId="25B3D531" w14:textId="77777777" w:rsidR="00B87DF5" w:rsidRDefault="007B1330">
            <w:pPr>
              <w:keepNext/>
              <w:spacing w:after="0"/>
            </w:pPr>
            <w:r>
              <w:rPr>
                <w:sz w:val="17"/>
              </w:rPr>
              <w:t>Stages are deprecated since MLflow 2.9; local-only constraint rules out hosted W&amp;B</w:t>
            </w:r>
          </w:p>
        </w:tc>
      </w:tr>
      <w:tr w:rsidR="00B87DF5" w14:paraId="096A58B0" w14:textId="77777777">
        <w:trPr>
          <w:jc w:val="center"/>
        </w:trPr>
        <w:tc>
          <w:tcPr>
            <w:tcW w:w="2381" w:type="dxa"/>
            <w:shd w:val="clear" w:color="auto" w:fill="EAF1F8"/>
          </w:tcPr>
          <w:p w14:paraId="3807804A" w14:textId="77777777" w:rsidR="00B87DF5" w:rsidRDefault="007B1330">
            <w:pPr>
              <w:keepNext/>
              <w:spacing w:after="0"/>
            </w:pPr>
            <w:r>
              <w:rPr>
                <w:sz w:val="17"/>
              </w:rPr>
              <w:t>FastAPI in Docker Compose</w:t>
            </w:r>
          </w:p>
        </w:tc>
        <w:tc>
          <w:tcPr>
            <w:tcW w:w="2041" w:type="dxa"/>
            <w:shd w:val="clear" w:color="auto" w:fill="EAF1F8"/>
          </w:tcPr>
          <w:p w14:paraId="12D1676F" w14:textId="77777777" w:rsidR="00B87DF5" w:rsidRDefault="007B1330">
            <w:pPr>
              <w:keepNext/>
              <w:spacing w:after="0"/>
            </w:pPr>
            <w:r>
              <w:rPr>
                <w:sz w:val="17"/>
              </w:rPr>
              <w:t>Kubernetes</w:t>
            </w:r>
          </w:p>
        </w:tc>
        <w:tc>
          <w:tcPr>
            <w:tcW w:w="5216" w:type="dxa"/>
            <w:shd w:val="clear" w:color="auto" w:fill="EAF1F8"/>
          </w:tcPr>
          <w:p w14:paraId="0679CAEB" w14:textId="77777777" w:rsidR="00B87DF5" w:rsidRDefault="007B1330">
            <w:pPr>
              <w:keepNext/>
              <w:spacing w:after="0"/>
            </w:pPr>
            <w:r>
              <w:rPr>
                <w:sz w:val="17"/>
              </w:rPr>
              <w:t>One-host academic scope; Compose gives the registry, API and monitoring stack reproducibly</w:t>
            </w:r>
          </w:p>
        </w:tc>
      </w:tr>
      <w:tr w:rsidR="00B87DF5" w14:paraId="0BED472A" w14:textId="77777777">
        <w:trPr>
          <w:jc w:val="center"/>
        </w:trPr>
        <w:tc>
          <w:tcPr>
            <w:tcW w:w="2381" w:type="dxa"/>
          </w:tcPr>
          <w:p w14:paraId="4FD91E12" w14:textId="77777777" w:rsidR="00B87DF5" w:rsidRDefault="007B1330">
            <w:pPr>
              <w:keepNext/>
              <w:spacing w:after="0"/>
            </w:pPr>
            <w:r>
              <w:rPr>
                <w:sz w:val="17"/>
              </w:rPr>
              <w:t>Prefect 3</w:t>
            </w:r>
          </w:p>
        </w:tc>
        <w:tc>
          <w:tcPr>
            <w:tcW w:w="2041" w:type="dxa"/>
          </w:tcPr>
          <w:p w14:paraId="576372FA" w14:textId="77777777" w:rsidR="00B87DF5" w:rsidRDefault="007B1330">
            <w:pPr>
              <w:keepNext/>
              <w:spacing w:after="0"/>
            </w:pPr>
            <w:r>
              <w:rPr>
                <w:sz w:val="17"/>
              </w:rPr>
              <w:t>Airflow, cron</w:t>
            </w:r>
          </w:p>
        </w:tc>
        <w:tc>
          <w:tcPr>
            <w:tcW w:w="5216" w:type="dxa"/>
          </w:tcPr>
          <w:p w14:paraId="1D3EC3E1" w14:textId="77777777" w:rsidR="00B87DF5" w:rsidRDefault="007B1330">
            <w:pPr>
              <w:keepNext/>
              <w:spacing w:after="0"/>
            </w:pPr>
            <w:r>
              <w:rPr>
                <w:sz w:val="17"/>
              </w:rPr>
              <w:t>Python-native flows with retries and schedules; lighter than Airflow for one monthly job</w:t>
            </w:r>
          </w:p>
        </w:tc>
      </w:tr>
      <w:tr w:rsidR="00B87DF5" w14:paraId="128304F5" w14:textId="77777777">
        <w:trPr>
          <w:jc w:val="center"/>
        </w:trPr>
        <w:tc>
          <w:tcPr>
            <w:tcW w:w="2381" w:type="dxa"/>
            <w:shd w:val="clear" w:color="auto" w:fill="EAF1F8"/>
          </w:tcPr>
          <w:p w14:paraId="28CFC11E" w14:textId="77777777" w:rsidR="00B87DF5" w:rsidRDefault="007B1330">
            <w:pPr>
              <w:keepNext/>
              <w:spacing w:after="0"/>
            </w:pPr>
            <w:r>
              <w:rPr>
                <w:sz w:val="17"/>
              </w:rPr>
              <w:t>Evidently + Pushgateway + Prometheus + Grafana</w:t>
            </w:r>
          </w:p>
        </w:tc>
        <w:tc>
          <w:tcPr>
            <w:tcW w:w="2041" w:type="dxa"/>
            <w:shd w:val="clear" w:color="auto" w:fill="EAF1F8"/>
          </w:tcPr>
          <w:p w14:paraId="453071D7" w14:textId="77777777" w:rsidR="00B87DF5" w:rsidRDefault="007B1330">
            <w:pPr>
              <w:keepNext/>
              <w:spacing w:after="0"/>
            </w:pPr>
            <w:r>
              <w:rPr>
                <w:sz w:val="17"/>
              </w:rPr>
              <w:t>Custom scripts</w:t>
            </w:r>
          </w:p>
        </w:tc>
        <w:tc>
          <w:tcPr>
            <w:tcW w:w="5216" w:type="dxa"/>
            <w:shd w:val="clear" w:color="auto" w:fill="EAF1F8"/>
          </w:tcPr>
          <w:p w14:paraId="6E8C2C0E" w14:textId="77777777" w:rsidR="00B87DF5" w:rsidRDefault="007B1330">
            <w:pPr>
              <w:keepNext/>
              <w:spacing w:after="0"/>
            </w:pPr>
            <w:r>
              <w:rPr>
                <w:sz w:val="17"/>
              </w:rPr>
              <w:t>Standard drift statistics; Pushgateway suits short-lived batch jobs; alert rules are declarative</w:t>
            </w:r>
          </w:p>
        </w:tc>
      </w:tr>
      <w:tr w:rsidR="00B87DF5" w14:paraId="177E5FE0" w14:textId="77777777">
        <w:trPr>
          <w:jc w:val="center"/>
        </w:trPr>
        <w:tc>
          <w:tcPr>
            <w:tcW w:w="2381" w:type="dxa"/>
          </w:tcPr>
          <w:p w14:paraId="4761E5D3" w14:textId="77777777" w:rsidR="00B87DF5" w:rsidRDefault="007B1330">
            <w:pPr>
              <w:keepNext/>
              <w:spacing w:after="0"/>
            </w:pPr>
            <w:r>
              <w:rPr>
                <w:sz w:val="17"/>
              </w:rPr>
              <w:t>Deterministic multiplicative shifts</w:t>
            </w:r>
          </w:p>
        </w:tc>
        <w:tc>
          <w:tcPr>
            <w:tcW w:w="2041" w:type="dxa"/>
          </w:tcPr>
          <w:p w14:paraId="11BA99AF" w14:textId="77777777" w:rsidR="00B87DF5" w:rsidRDefault="007B1330">
            <w:pPr>
              <w:keepNext/>
              <w:spacing w:after="0"/>
            </w:pPr>
            <w:r>
              <w:rPr>
                <w:sz w:val="17"/>
              </w:rPr>
              <w:t>SDV synthetic data</w:t>
            </w:r>
          </w:p>
        </w:tc>
        <w:tc>
          <w:tcPr>
            <w:tcW w:w="5216" w:type="dxa"/>
          </w:tcPr>
          <w:p w14:paraId="3EA693BC" w14:textId="77777777" w:rsidR="00B87DF5" w:rsidRDefault="007B1330">
            <w:pPr>
              <w:keepNext/>
              <w:spacing w:after="0"/>
            </w:pPr>
            <w:r>
              <w:rPr>
                <w:sz w:val="17"/>
              </w:rPr>
              <w:t>Known injected magnitude makes the sensitivity curve exact and reproducible</w:t>
            </w:r>
          </w:p>
        </w:tc>
      </w:tr>
      <w:tr w:rsidR="00B87DF5" w14:paraId="151F950A" w14:textId="77777777">
        <w:trPr>
          <w:jc w:val="center"/>
        </w:trPr>
        <w:tc>
          <w:tcPr>
            <w:tcW w:w="2381" w:type="dxa"/>
            <w:shd w:val="clear" w:color="auto" w:fill="EAF1F8"/>
          </w:tcPr>
          <w:p w14:paraId="6630E046" w14:textId="77777777" w:rsidR="00B87DF5" w:rsidRDefault="007B1330">
            <w:pPr>
              <w:spacing w:after="0"/>
            </w:pPr>
            <w:r>
              <w:rPr>
                <w:sz w:val="17"/>
              </w:rPr>
              <w:t>Data-free repository + manifests</w:t>
            </w:r>
          </w:p>
        </w:tc>
        <w:tc>
          <w:tcPr>
            <w:tcW w:w="2041" w:type="dxa"/>
            <w:shd w:val="clear" w:color="auto" w:fill="EAF1F8"/>
          </w:tcPr>
          <w:p w14:paraId="7C18DDB4" w14:textId="77777777" w:rsidR="00B87DF5" w:rsidRDefault="007B1330">
            <w:pPr>
              <w:spacing w:after="0"/>
            </w:pPr>
            <w:r>
              <w:rPr>
                <w:sz w:val="17"/>
              </w:rPr>
              <w:t>Commit the extract</w:t>
            </w:r>
          </w:p>
        </w:tc>
        <w:tc>
          <w:tcPr>
            <w:tcW w:w="5216" w:type="dxa"/>
            <w:shd w:val="clear" w:color="auto" w:fill="EAF1F8"/>
          </w:tcPr>
          <w:p w14:paraId="60FE4164" w14:textId="77777777" w:rsidR="00B87DF5" w:rsidRDefault="007B1330">
            <w:pPr>
              <w:spacing w:after="0"/>
            </w:pPr>
            <w:r>
              <w:rPr>
                <w:sz w:val="17"/>
              </w:rPr>
              <w:t>Respects publisher registration while keeping provenance verifiable by hash</w:t>
            </w:r>
          </w:p>
        </w:tc>
      </w:tr>
    </w:tbl>
    <w:p w14:paraId="77A54FD6" w14:textId="77777777" w:rsidR="00B87DF5" w:rsidRDefault="00B87DF5">
      <w:pPr>
        <w:spacing w:after="40"/>
      </w:pPr>
    </w:p>
    <w:p w14:paraId="1BF4AF38" w14:textId="77777777" w:rsidR="00B87DF5" w:rsidRDefault="007B1330">
      <w:pPr>
        <w:pStyle w:val="Heading1"/>
      </w:pPr>
      <w:bookmarkStart w:id="3" w:name="_Toc243413796"/>
      <w:r>
        <w:t>4. Implementation &amp; Results</w:t>
      </w:r>
      <w:bookmarkEnd w:id="3"/>
    </w:p>
    <w:p w14:paraId="14F2AF2B" w14:textId="77777777" w:rsidR="00B87DF5" w:rsidRDefault="007B1330">
      <w:pPr>
        <w:pStyle w:val="Heading2"/>
      </w:pPr>
      <w:r>
        <w:t>4.1 Pipeline and experiment tracking</w:t>
      </w:r>
    </w:p>
    <w:p w14:paraId="3D36C476" w14:textId="77777777" w:rsidR="00B87DF5" w:rsidRDefault="007B1330">
      <w:r>
        <w:t xml:space="preserve">One command, </w:t>
      </w:r>
      <w:r>
        <w:rPr>
          <w:rFonts w:ascii="Consolas" w:hAnsi="Consolas"/>
          <w:sz w:val="19"/>
        </w:rPr>
        <w:t>python -m evcharge.pipeline --source raw|sample</w:t>
      </w:r>
      <w:r>
        <w:t>, runs normalise → contract → train → evaluate → register. Each MLflow run logs parameters, the git commit, the SHA-256 of the post-quarantine training frame, split row counts, overall and per-site metrics, permutation importances, and the fitted feature specification as an artifact. A model is never stored without the encoding it was fitted with. Energy (</w:t>
      </w:r>
      <w:r>
        <w:rPr>
          <w:rFonts w:ascii="Consolas" w:hAnsi="Consolas"/>
          <w:sz w:val="19"/>
        </w:rPr>
        <w:t>kWhDelivered</w:t>
      </w:r>
      <w:r>
        <w:t>) and dwell (</w:t>
      </w:r>
      <w:r>
        <w:rPr>
          <w:rFonts w:ascii="Consolas" w:hAnsi="Consolas"/>
          <w:sz w:val="19"/>
        </w:rPr>
        <w:t>connectedHours</w:t>
      </w:r>
      <w:r>
        <w:t>) are trained as separate targets on the same plug-in-time features.</w:t>
      </w:r>
    </w:p>
    <w:p w14:paraId="791BB369" w14:textId="77777777" w:rsidR="00B87DF5" w:rsidRDefault="007B1330">
      <w:pPr>
        <w:pStyle w:val="Heading2"/>
      </w:pPr>
      <w:r>
        <w:t>4.2 Model quality</w:t>
      </w:r>
    </w:p>
    <w:p w14:paraId="36BECD77" w14:textId="77777777" w:rsidR="00B87DF5" w:rsidRDefault="007B1330">
      <w:pPr>
        <w:keepNext/>
        <w:jc w:val="center"/>
      </w:pPr>
      <w:r>
        <w:rPr>
          <w:noProof/>
        </w:rPr>
        <w:drawing>
          <wp:inline distT="0" distB="0" distL="0" distR="0" wp14:anchorId="5FA4AA23" wp14:editId="4B1FF6CD">
            <wp:extent cx="5940000" cy="226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mae.png"/>
                    <pic:cNvPicPr/>
                  </pic:nvPicPr>
                  <pic:blipFill>
                    <a:blip r:embed="rId9"/>
                    <a:stretch>
                      <a:fillRect/>
                    </a:stretch>
                  </pic:blipFill>
                  <pic:spPr>
                    <a:xfrm>
                      <a:off x="0" y="0"/>
                      <a:ext cx="5940000" cy="2268000"/>
                    </a:xfrm>
                    <a:prstGeom prst="rect">
                      <a:avLst/>
                    </a:prstGeom>
                  </pic:spPr>
                </pic:pic>
              </a:graphicData>
            </a:graphic>
          </wp:inline>
        </w:drawing>
      </w:r>
    </w:p>
    <w:p w14:paraId="50DD0DB2" w14:textId="77777777" w:rsidR="00B87DF5" w:rsidRDefault="007B1330">
      <w:pPr>
        <w:spacing w:after="160"/>
        <w:jc w:val="center"/>
      </w:pPr>
      <w:r>
        <w:rPr>
          <w:i/>
          <w:sz w:val="17"/>
        </w:rPr>
        <w:t>Figure 2. Mean absolute error by model and chronological split (licensed extract).</w:t>
      </w:r>
    </w:p>
    <w:tbl>
      <w:tblPr>
        <w:tblStyle w:val="TableGrid"/>
        <w:tblW w:w="0" w:type="auto"/>
        <w:jc w:val="center"/>
        <w:tblLook w:val="04A0" w:firstRow="1" w:lastRow="0" w:firstColumn="1" w:lastColumn="0" w:noHBand="0" w:noVBand="1"/>
      </w:tblPr>
      <w:tblGrid>
        <w:gridCol w:w="2381"/>
        <w:gridCol w:w="1361"/>
        <w:gridCol w:w="1474"/>
        <w:gridCol w:w="1474"/>
        <w:gridCol w:w="1474"/>
        <w:gridCol w:w="1474"/>
      </w:tblGrid>
      <w:tr w:rsidR="00B87DF5" w14:paraId="70E43FF3" w14:textId="77777777">
        <w:trPr>
          <w:jc w:val="center"/>
        </w:trPr>
        <w:tc>
          <w:tcPr>
            <w:tcW w:w="2381" w:type="dxa"/>
            <w:shd w:val="clear" w:color="auto" w:fill="1F4E79"/>
          </w:tcPr>
          <w:p w14:paraId="4B6339BC" w14:textId="77777777" w:rsidR="00B87DF5" w:rsidRDefault="007B1330">
            <w:pPr>
              <w:keepNext/>
              <w:spacing w:after="0"/>
            </w:pPr>
            <w:r>
              <w:rPr>
                <w:b/>
                <w:color w:val="FFFFFF"/>
                <w:sz w:val="17"/>
              </w:rPr>
              <w:lastRenderedPageBreak/>
              <w:t>Energy model (kWh)</w:t>
            </w:r>
          </w:p>
        </w:tc>
        <w:tc>
          <w:tcPr>
            <w:tcW w:w="1361" w:type="dxa"/>
            <w:shd w:val="clear" w:color="auto" w:fill="1F4E79"/>
          </w:tcPr>
          <w:p w14:paraId="38AAB37E" w14:textId="77777777" w:rsidR="00B87DF5" w:rsidRDefault="007B1330">
            <w:pPr>
              <w:keepNext/>
              <w:spacing w:after="0"/>
            </w:pPr>
            <w:r>
              <w:rPr>
                <w:b/>
                <w:color w:val="FFFFFF"/>
                <w:sz w:val="17"/>
              </w:rPr>
              <w:t>Train MAE</w:t>
            </w:r>
          </w:p>
        </w:tc>
        <w:tc>
          <w:tcPr>
            <w:tcW w:w="1474" w:type="dxa"/>
            <w:shd w:val="clear" w:color="auto" w:fill="1F4E79"/>
          </w:tcPr>
          <w:p w14:paraId="07B4CC95" w14:textId="77777777" w:rsidR="00B87DF5" w:rsidRDefault="007B1330">
            <w:pPr>
              <w:keepNext/>
              <w:spacing w:after="0"/>
            </w:pPr>
            <w:r>
              <w:rPr>
                <w:b/>
                <w:color w:val="FFFFFF"/>
                <w:sz w:val="17"/>
              </w:rPr>
              <w:t>Validation MAE</w:t>
            </w:r>
          </w:p>
        </w:tc>
        <w:tc>
          <w:tcPr>
            <w:tcW w:w="1474" w:type="dxa"/>
            <w:shd w:val="clear" w:color="auto" w:fill="1F4E79"/>
          </w:tcPr>
          <w:p w14:paraId="3E192182" w14:textId="77777777" w:rsidR="00B87DF5" w:rsidRDefault="007B1330">
            <w:pPr>
              <w:keepNext/>
              <w:spacing w:after="0"/>
            </w:pPr>
            <w:r>
              <w:rPr>
                <w:b/>
                <w:color w:val="FFFFFF"/>
                <w:sz w:val="17"/>
              </w:rPr>
              <w:t>Post-shift MAE</w:t>
            </w:r>
          </w:p>
        </w:tc>
        <w:tc>
          <w:tcPr>
            <w:tcW w:w="1474" w:type="dxa"/>
            <w:shd w:val="clear" w:color="auto" w:fill="1F4E79"/>
          </w:tcPr>
          <w:p w14:paraId="6527469A" w14:textId="77777777" w:rsidR="00B87DF5" w:rsidRDefault="007B1330">
            <w:pPr>
              <w:keepNext/>
              <w:spacing w:after="0"/>
            </w:pPr>
            <w:r>
              <w:rPr>
                <w:b/>
                <w:color w:val="FFFFFF"/>
                <w:sz w:val="17"/>
              </w:rPr>
              <w:t>Validation R²</w:t>
            </w:r>
          </w:p>
        </w:tc>
        <w:tc>
          <w:tcPr>
            <w:tcW w:w="1474" w:type="dxa"/>
            <w:shd w:val="clear" w:color="auto" w:fill="1F4E79"/>
          </w:tcPr>
          <w:p w14:paraId="2ECC5BA3" w14:textId="77777777" w:rsidR="00B87DF5" w:rsidRDefault="007B1330">
            <w:pPr>
              <w:keepNext/>
              <w:spacing w:after="0"/>
            </w:pPr>
            <w:r>
              <w:rPr>
                <w:b/>
                <w:color w:val="FFFFFF"/>
                <w:sz w:val="17"/>
              </w:rPr>
              <w:t>Post-shift R²</w:t>
            </w:r>
          </w:p>
        </w:tc>
      </w:tr>
      <w:tr w:rsidR="00B87DF5" w14:paraId="2B7CB4B8" w14:textId="77777777">
        <w:trPr>
          <w:jc w:val="center"/>
        </w:trPr>
        <w:tc>
          <w:tcPr>
            <w:tcW w:w="2381" w:type="dxa"/>
          </w:tcPr>
          <w:p w14:paraId="7F762EE8" w14:textId="77777777" w:rsidR="00B87DF5" w:rsidRDefault="007B1330">
            <w:pPr>
              <w:keepNext/>
              <w:spacing w:after="0"/>
            </w:pPr>
            <w:r>
              <w:rPr>
                <w:sz w:val="17"/>
              </w:rPr>
              <w:t>Mean floor</w:t>
            </w:r>
          </w:p>
        </w:tc>
        <w:tc>
          <w:tcPr>
            <w:tcW w:w="1361" w:type="dxa"/>
          </w:tcPr>
          <w:p w14:paraId="73F26E31" w14:textId="77777777" w:rsidR="00B87DF5" w:rsidRDefault="007B1330">
            <w:pPr>
              <w:keepNext/>
              <w:spacing w:after="0"/>
            </w:pPr>
            <w:r>
              <w:rPr>
                <w:sz w:val="17"/>
              </w:rPr>
              <w:t>7.067</w:t>
            </w:r>
          </w:p>
        </w:tc>
        <w:tc>
          <w:tcPr>
            <w:tcW w:w="1474" w:type="dxa"/>
          </w:tcPr>
          <w:p w14:paraId="367A4E01" w14:textId="77777777" w:rsidR="00B87DF5" w:rsidRDefault="007B1330">
            <w:pPr>
              <w:keepNext/>
              <w:spacing w:after="0"/>
            </w:pPr>
            <w:r>
              <w:rPr>
                <w:sz w:val="17"/>
              </w:rPr>
              <w:t>7.894</w:t>
            </w:r>
          </w:p>
        </w:tc>
        <w:tc>
          <w:tcPr>
            <w:tcW w:w="1474" w:type="dxa"/>
          </w:tcPr>
          <w:p w14:paraId="0D0F4E1D" w14:textId="77777777" w:rsidR="00B87DF5" w:rsidRDefault="007B1330">
            <w:pPr>
              <w:keepNext/>
              <w:spacing w:after="0"/>
            </w:pPr>
            <w:r>
              <w:rPr>
                <w:sz w:val="17"/>
              </w:rPr>
              <w:t>8.479</w:t>
            </w:r>
          </w:p>
        </w:tc>
        <w:tc>
          <w:tcPr>
            <w:tcW w:w="1474" w:type="dxa"/>
          </w:tcPr>
          <w:p w14:paraId="1F346888" w14:textId="77777777" w:rsidR="00B87DF5" w:rsidRDefault="007B1330">
            <w:pPr>
              <w:keepNext/>
              <w:spacing w:after="0"/>
            </w:pPr>
            <w:r>
              <w:rPr>
                <w:sz w:val="17"/>
              </w:rPr>
              <w:t>−</w:t>
            </w:r>
            <w:r>
              <w:rPr>
                <w:sz w:val="17"/>
              </w:rPr>
              <w:t>0.010</w:t>
            </w:r>
          </w:p>
        </w:tc>
        <w:tc>
          <w:tcPr>
            <w:tcW w:w="1474" w:type="dxa"/>
          </w:tcPr>
          <w:p w14:paraId="389AF383" w14:textId="77777777" w:rsidR="00B87DF5" w:rsidRDefault="007B1330">
            <w:pPr>
              <w:keepNext/>
              <w:spacing w:after="0"/>
            </w:pPr>
            <w:r>
              <w:rPr>
                <w:sz w:val="17"/>
              </w:rPr>
              <w:t>−</w:t>
            </w:r>
            <w:r>
              <w:rPr>
                <w:sz w:val="17"/>
              </w:rPr>
              <w:t>0.169</w:t>
            </w:r>
          </w:p>
        </w:tc>
      </w:tr>
      <w:tr w:rsidR="00B87DF5" w14:paraId="1B43C5B5" w14:textId="77777777">
        <w:trPr>
          <w:jc w:val="center"/>
        </w:trPr>
        <w:tc>
          <w:tcPr>
            <w:tcW w:w="2381" w:type="dxa"/>
            <w:shd w:val="clear" w:color="auto" w:fill="EAF1F8"/>
          </w:tcPr>
          <w:p w14:paraId="6A2DBF4C" w14:textId="77777777" w:rsidR="00B87DF5" w:rsidRDefault="007B1330">
            <w:pPr>
              <w:keepNext/>
              <w:spacing w:after="0"/>
            </w:pPr>
            <w:r>
              <w:rPr>
                <w:sz w:val="17"/>
              </w:rPr>
              <w:t>Ridge</w:t>
            </w:r>
          </w:p>
        </w:tc>
        <w:tc>
          <w:tcPr>
            <w:tcW w:w="1361" w:type="dxa"/>
            <w:shd w:val="clear" w:color="auto" w:fill="EAF1F8"/>
          </w:tcPr>
          <w:p w14:paraId="7810B93F" w14:textId="77777777" w:rsidR="00B87DF5" w:rsidRDefault="007B1330">
            <w:pPr>
              <w:keepNext/>
              <w:spacing w:after="0"/>
            </w:pPr>
            <w:r>
              <w:rPr>
                <w:sz w:val="17"/>
              </w:rPr>
              <w:t>4.979</w:t>
            </w:r>
          </w:p>
        </w:tc>
        <w:tc>
          <w:tcPr>
            <w:tcW w:w="1474" w:type="dxa"/>
            <w:shd w:val="clear" w:color="auto" w:fill="EAF1F8"/>
          </w:tcPr>
          <w:p w14:paraId="349FA2A5" w14:textId="77777777" w:rsidR="00B87DF5" w:rsidRDefault="007B1330">
            <w:pPr>
              <w:keepNext/>
              <w:spacing w:after="0"/>
            </w:pPr>
            <w:r>
              <w:rPr>
                <w:sz w:val="17"/>
              </w:rPr>
              <w:t>5.382</w:t>
            </w:r>
          </w:p>
        </w:tc>
        <w:tc>
          <w:tcPr>
            <w:tcW w:w="1474" w:type="dxa"/>
            <w:shd w:val="clear" w:color="auto" w:fill="EAF1F8"/>
          </w:tcPr>
          <w:p w14:paraId="6B2F580D" w14:textId="77777777" w:rsidR="00B87DF5" w:rsidRDefault="007B1330">
            <w:pPr>
              <w:keepNext/>
              <w:spacing w:after="0"/>
            </w:pPr>
            <w:r>
              <w:rPr>
                <w:sz w:val="17"/>
              </w:rPr>
              <w:t>6.944</w:t>
            </w:r>
          </w:p>
        </w:tc>
        <w:tc>
          <w:tcPr>
            <w:tcW w:w="1474" w:type="dxa"/>
            <w:shd w:val="clear" w:color="auto" w:fill="EAF1F8"/>
          </w:tcPr>
          <w:p w14:paraId="1251C8D6" w14:textId="77777777" w:rsidR="00B87DF5" w:rsidRDefault="007B1330">
            <w:pPr>
              <w:keepNext/>
              <w:spacing w:after="0"/>
            </w:pPr>
            <w:r>
              <w:rPr>
                <w:sz w:val="17"/>
              </w:rPr>
              <w:t>0.501</w:t>
            </w:r>
          </w:p>
        </w:tc>
        <w:tc>
          <w:tcPr>
            <w:tcW w:w="1474" w:type="dxa"/>
            <w:shd w:val="clear" w:color="auto" w:fill="EAF1F8"/>
          </w:tcPr>
          <w:p w14:paraId="6692729C" w14:textId="77777777" w:rsidR="00B87DF5" w:rsidRDefault="007B1330">
            <w:pPr>
              <w:keepNext/>
              <w:spacing w:after="0"/>
            </w:pPr>
            <w:r>
              <w:rPr>
                <w:sz w:val="17"/>
              </w:rPr>
              <w:t>0.235</w:t>
            </w:r>
          </w:p>
        </w:tc>
      </w:tr>
      <w:tr w:rsidR="00B87DF5" w14:paraId="16E15617" w14:textId="77777777">
        <w:trPr>
          <w:jc w:val="center"/>
        </w:trPr>
        <w:tc>
          <w:tcPr>
            <w:tcW w:w="2381" w:type="dxa"/>
          </w:tcPr>
          <w:p w14:paraId="12046DF9" w14:textId="77777777" w:rsidR="00B87DF5" w:rsidRDefault="007B1330">
            <w:pPr>
              <w:spacing w:after="0"/>
            </w:pPr>
            <w:r>
              <w:rPr>
                <w:b/>
                <w:sz w:val="17"/>
              </w:rPr>
              <w:t>HistGradientBoosting</w:t>
            </w:r>
          </w:p>
        </w:tc>
        <w:tc>
          <w:tcPr>
            <w:tcW w:w="1361" w:type="dxa"/>
          </w:tcPr>
          <w:p w14:paraId="4EFBAC4B" w14:textId="77777777" w:rsidR="00B87DF5" w:rsidRDefault="007B1330">
            <w:pPr>
              <w:spacing w:after="0"/>
            </w:pPr>
            <w:r>
              <w:rPr>
                <w:b/>
                <w:sz w:val="17"/>
              </w:rPr>
              <w:t>3.701</w:t>
            </w:r>
          </w:p>
        </w:tc>
        <w:tc>
          <w:tcPr>
            <w:tcW w:w="1474" w:type="dxa"/>
          </w:tcPr>
          <w:p w14:paraId="280D93FC" w14:textId="77777777" w:rsidR="00B87DF5" w:rsidRDefault="007B1330">
            <w:pPr>
              <w:spacing w:after="0"/>
            </w:pPr>
            <w:r>
              <w:rPr>
                <w:b/>
                <w:sz w:val="17"/>
              </w:rPr>
              <w:t>4.399</w:t>
            </w:r>
          </w:p>
        </w:tc>
        <w:tc>
          <w:tcPr>
            <w:tcW w:w="1474" w:type="dxa"/>
          </w:tcPr>
          <w:p w14:paraId="2BF3031D" w14:textId="77777777" w:rsidR="00B87DF5" w:rsidRDefault="007B1330">
            <w:pPr>
              <w:spacing w:after="0"/>
            </w:pPr>
            <w:r>
              <w:rPr>
                <w:b/>
                <w:sz w:val="17"/>
              </w:rPr>
              <w:t>6.272</w:t>
            </w:r>
          </w:p>
        </w:tc>
        <w:tc>
          <w:tcPr>
            <w:tcW w:w="1474" w:type="dxa"/>
          </w:tcPr>
          <w:p w14:paraId="24CB3DD6" w14:textId="77777777" w:rsidR="00B87DF5" w:rsidRDefault="007B1330">
            <w:pPr>
              <w:spacing w:after="0"/>
            </w:pPr>
            <w:r>
              <w:rPr>
                <w:b/>
                <w:sz w:val="17"/>
              </w:rPr>
              <w:t>0.579</w:t>
            </w:r>
          </w:p>
        </w:tc>
        <w:tc>
          <w:tcPr>
            <w:tcW w:w="1474" w:type="dxa"/>
          </w:tcPr>
          <w:p w14:paraId="24100D77" w14:textId="77777777" w:rsidR="00B87DF5" w:rsidRDefault="007B1330">
            <w:pPr>
              <w:spacing w:after="0"/>
            </w:pPr>
            <w:r>
              <w:rPr>
                <w:b/>
                <w:sz w:val="17"/>
              </w:rPr>
              <w:t>0.355</w:t>
            </w:r>
          </w:p>
        </w:tc>
      </w:tr>
    </w:tbl>
    <w:p w14:paraId="5DB06B3F" w14:textId="77777777" w:rsidR="00B87DF5" w:rsidRDefault="007B1330">
      <w:pPr>
        <w:spacing w:before="40" w:after="120"/>
      </w:pPr>
      <w:r>
        <w:rPr>
          <w:i/>
          <w:sz w:val="17"/>
        </w:rPr>
        <w:t>Table: energy model, licensed extract (benchmarks/licensed_baseline.json). Validation RMSE 7.15 kWh; median absolute error 2.38 kWh.</w:t>
      </w:r>
    </w:p>
    <w:p w14:paraId="540F473F" w14:textId="77777777" w:rsidR="00B87DF5" w:rsidRDefault="007B1330">
      <w:r>
        <w:t xml:space="preserve">The selected model beats the mean floor by </w:t>
      </w:r>
      <w:r>
        <w:rPr>
          <w:b/>
        </w:rPr>
        <w:t>44%</w:t>
      </w:r>
      <w:r>
        <w:t xml:space="preserve"> and Ridge by </w:t>
      </w:r>
      <w:r>
        <w:rPr>
          <w:b/>
        </w:rPr>
        <w:t>18%</w:t>
      </w:r>
      <w:r>
        <w:t xml:space="preserve"> on validation. Scored on post-shift data, the same model's error rises </w:t>
      </w:r>
      <w:r>
        <w:rPr>
          <w:b/>
        </w:rPr>
        <w:t>43%</w:t>
      </w:r>
      <w:r>
        <w:t xml:space="preserve"> (4.40 → 6.27 kWh) and R² falls from 0.579 to 0.355. This is the failure the monitoring stack exists to expose. The dwell model shows the same pattern: validation MAE is 1.66 h against 3.07 h for the mean (−46%) and 1.98 h for Ridge, rising to 2.32 h after the shift.</w:t>
      </w:r>
    </w:p>
    <w:p w14:paraId="692D2349" w14:textId="77777777" w:rsidR="00B87DF5" w:rsidRDefault="007B1330">
      <w:pPr>
        <w:keepNext/>
        <w:jc w:val="center"/>
      </w:pPr>
      <w:r>
        <w:rPr>
          <w:noProof/>
        </w:rPr>
        <w:drawing>
          <wp:inline distT="0" distB="0" distL="0" distR="0" wp14:anchorId="244BFA81" wp14:editId="11D5ED26">
            <wp:extent cx="4500000" cy="24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te_mae.png"/>
                    <pic:cNvPicPr/>
                  </pic:nvPicPr>
                  <pic:blipFill>
                    <a:blip r:embed="rId10"/>
                    <a:stretch>
                      <a:fillRect/>
                    </a:stretch>
                  </pic:blipFill>
                  <pic:spPr>
                    <a:xfrm>
                      <a:off x="0" y="0"/>
                      <a:ext cx="4500000" cy="2400000"/>
                    </a:xfrm>
                    <a:prstGeom prst="rect">
                      <a:avLst/>
                    </a:prstGeom>
                  </pic:spPr>
                </pic:pic>
              </a:graphicData>
            </a:graphic>
          </wp:inline>
        </w:drawing>
      </w:r>
    </w:p>
    <w:p w14:paraId="03AF9AD7" w14:textId="77777777" w:rsidR="00B87DF5" w:rsidRDefault="007B1330">
      <w:pPr>
        <w:spacing w:after="160"/>
        <w:jc w:val="center"/>
      </w:pPr>
      <w:r>
        <w:rPr>
          <w:i/>
          <w:sz w:val="17"/>
        </w:rPr>
        <w:t>Figure 3. Energy MAE by site. Site 0019 has the fewest sessions and the largest error.</w:t>
      </w:r>
    </w:p>
    <w:p w14:paraId="02D3CC21" w14:textId="77777777" w:rsidR="00B87DF5" w:rsidRDefault="007B1330">
      <w:r>
        <w:rPr>
          <w:b/>
        </w:rPr>
        <w:t>Per-site bias.</w:t>
      </w:r>
      <w:r>
        <w:t xml:space="preserve"> Validation MAE is 4.73 kWh at site 0001 and 3.04 at site 0002, but 10.32 at site 0019 (R² −0.48 on 219 sessions). Site 0019 contributes under 2% of training rows, and only 45 of its reference-period sessions carry a positive energy request. The aggregate metric hides this; the per-site slice exposes it.</w:t>
      </w:r>
    </w:p>
    <w:p w14:paraId="124AACF0" w14:textId="77777777" w:rsidR="00B87DF5" w:rsidRDefault="007B1330">
      <w:pPr>
        <w:keepNext/>
        <w:jc w:val="center"/>
      </w:pPr>
      <w:r>
        <w:rPr>
          <w:noProof/>
        </w:rPr>
        <w:drawing>
          <wp:inline distT="0" distB="0" distL="0" distR="0" wp14:anchorId="56F78CD1" wp14:editId="71E208BC">
            <wp:extent cx="3960000" cy="24369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mportance.png"/>
                    <pic:cNvPicPr/>
                  </pic:nvPicPr>
                  <pic:blipFill>
                    <a:blip r:embed="rId11"/>
                    <a:stretch>
                      <a:fillRect/>
                    </a:stretch>
                  </pic:blipFill>
                  <pic:spPr>
                    <a:xfrm>
                      <a:off x="0" y="0"/>
                      <a:ext cx="3960000" cy="2436923"/>
                    </a:xfrm>
                    <a:prstGeom prst="rect">
                      <a:avLst/>
                    </a:prstGeom>
                  </pic:spPr>
                </pic:pic>
              </a:graphicData>
            </a:graphic>
          </wp:inline>
        </w:drawing>
      </w:r>
    </w:p>
    <w:p w14:paraId="55D92757" w14:textId="77777777" w:rsidR="00B87DF5" w:rsidRDefault="007B1330">
      <w:pPr>
        <w:spacing w:after="160"/>
        <w:jc w:val="center"/>
      </w:pPr>
      <w:r>
        <w:rPr>
          <w:i/>
          <w:sz w:val="17"/>
        </w:rPr>
        <w:t>Figure 4. Permutation importance on validation: driver-declared intent dominates.</w:t>
      </w:r>
    </w:p>
    <w:p w14:paraId="06C70F46" w14:textId="77777777" w:rsidR="00B87DF5" w:rsidRDefault="007B1330">
      <w:pPr>
        <w:pStyle w:val="Heading2"/>
      </w:pPr>
      <w:r>
        <w:t>4.3 Registry, promotion gate and CI/CD</w:t>
      </w:r>
    </w:p>
    <w:p w14:paraId="1DA19BAA" w14:textId="77777777" w:rsidR="00B87DF5" w:rsidRDefault="007B1330">
      <w:r>
        <w:t xml:space="preserve">Each run registers its best-validation model and assigns the </w:t>
      </w:r>
      <w:r>
        <w:rPr>
          <w:rFonts w:ascii="Consolas" w:hAnsi="Consolas"/>
          <w:sz w:val="19"/>
        </w:rPr>
        <w:t>staging</w:t>
      </w:r>
      <w:r>
        <w:t xml:space="preserve"> alias. A model reaches </w:t>
      </w:r>
      <w:r>
        <w:rPr>
          <w:rFonts w:ascii="Consolas" w:hAnsi="Consolas"/>
          <w:sz w:val="19"/>
        </w:rPr>
        <w:t>production</w:t>
      </w:r>
      <w:r>
        <w:t xml:space="preserve"> only if its validation MAE beats both the mean and Ridge floors and is no more than 10% worse than the current Production model, scored on the same rows. Every decision is appended to </w:t>
      </w:r>
      <w:r>
        <w:rPr>
          <w:rFonts w:ascii="Consolas" w:hAnsi="Consolas"/>
          <w:sz w:val="19"/>
        </w:rPr>
        <w:t>artifacts/promotion_decisions.jsonl</w:t>
      </w:r>
      <w:r>
        <w:t>. GitHub Actions runs Ruff, 108 tests, the sample contract and pipeline, and a promotion-gate proof, then builds the Docker image. The proof registers a deliberately degraded candidate and fails the build if that candidate is promoted or the Production alias moves.</w:t>
      </w:r>
    </w:p>
    <w:tbl>
      <w:tblPr>
        <w:tblStyle w:val="TableGrid"/>
        <w:tblW w:w="0" w:type="auto"/>
        <w:jc w:val="center"/>
        <w:tblLook w:val="04A0" w:firstRow="1" w:lastRow="0" w:firstColumn="1" w:lastColumn="0" w:noHBand="0" w:noVBand="1"/>
      </w:tblPr>
      <w:tblGrid>
        <w:gridCol w:w="3402"/>
        <w:gridCol w:w="6236"/>
      </w:tblGrid>
      <w:tr w:rsidR="00B87DF5" w14:paraId="3FD038D4" w14:textId="77777777">
        <w:trPr>
          <w:jc w:val="center"/>
        </w:trPr>
        <w:tc>
          <w:tcPr>
            <w:tcW w:w="3402" w:type="dxa"/>
            <w:shd w:val="clear" w:color="auto" w:fill="1F4E79"/>
          </w:tcPr>
          <w:p w14:paraId="5BDD9B2D" w14:textId="77777777" w:rsidR="00B87DF5" w:rsidRDefault="007B1330">
            <w:pPr>
              <w:keepNext/>
              <w:spacing w:after="0"/>
            </w:pPr>
            <w:r>
              <w:rPr>
                <w:b/>
                <w:color w:val="FFFFFF"/>
                <w:sz w:val="17"/>
              </w:rPr>
              <w:lastRenderedPageBreak/>
              <w:t>CI gate evidence</w:t>
            </w:r>
          </w:p>
        </w:tc>
        <w:tc>
          <w:tcPr>
            <w:tcW w:w="6236" w:type="dxa"/>
            <w:shd w:val="clear" w:color="auto" w:fill="1F4E79"/>
          </w:tcPr>
          <w:p w14:paraId="5F97060E" w14:textId="77777777" w:rsidR="00B87DF5" w:rsidRDefault="007B1330">
            <w:pPr>
              <w:keepNext/>
              <w:spacing w:after="0"/>
            </w:pPr>
            <w:r>
              <w:rPr>
                <w:b/>
                <w:color w:val="FFFFFF"/>
                <w:sz w:val="17"/>
              </w:rPr>
              <w:t>Value</w:t>
            </w:r>
          </w:p>
        </w:tc>
      </w:tr>
      <w:tr w:rsidR="00B87DF5" w14:paraId="0A65F8EA" w14:textId="77777777">
        <w:trPr>
          <w:jc w:val="center"/>
        </w:trPr>
        <w:tc>
          <w:tcPr>
            <w:tcW w:w="3402" w:type="dxa"/>
          </w:tcPr>
          <w:p w14:paraId="3220EC84" w14:textId="77777777" w:rsidR="00B87DF5" w:rsidRDefault="007B1330">
            <w:pPr>
              <w:keepNext/>
              <w:spacing w:after="0"/>
            </w:pPr>
            <w:r>
              <w:rPr>
                <w:sz w:val="17"/>
              </w:rPr>
              <w:t>Degraded candidate validation MAE</w:t>
            </w:r>
          </w:p>
        </w:tc>
        <w:tc>
          <w:tcPr>
            <w:tcW w:w="6236" w:type="dxa"/>
          </w:tcPr>
          <w:p w14:paraId="341E5314" w14:textId="77777777" w:rsidR="00B87DF5" w:rsidRDefault="007B1330">
            <w:pPr>
              <w:keepNext/>
              <w:spacing w:after="0"/>
            </w:pPr>
            <w:r>
              <w:rPr>
                <w:sz w:val="17"/>
              </w:rPr>
              <w:t>13.515 kWh (sample fixture; Production 6.342)</w:t>
            </w:r>
          </w:p>
        </w:tc>
      </w:tr>
      <w:tr w:rsidR="00B87DF5" w14:paraId="57E340A9" w14:textId="77777777">
        <w:trPr>
          <w:jc w:val="center"/>
        </w:trPr>
        <w:tc>
          <w:tcPr>
            <w:tcW w:w="3402" w:type="dxa"/>
            <w:shd w:val="clear" w:color="auto" w:fill="EAF1F8"/>
          </w:tcPr>
          <w:p w14:paraId="050AE9E6" w14:textId="77777777" w:rsidR="00B87DF5" w:rsidRDefault="007B1330">
            <w:pPr>
              <w:keepNext/>
              <w:spacing w:after="0"/>
            </w:pPr>
            <w:r>
              <w:rPr>
                <w:sz w:val="17"/>
              </w:rPr>
              <w:t>Failed checks</w:t>
            </w:r>
          </w:p>
        </w:tc>
        <w:tc>
          <w:tcPr>
            <w:tcW w:w="6236" w:type="dxa"/>
            <w:shd w:val="clear" w:color="auto" w:fill="EAF1F8"/>
          </w:tcPr>
          <w:p w14:paraId="0EBBDB93" w14:textId="77777777" w:rsidR="00B87DF5" w:rsidRDefault="007B1330">
            <w:pPr>
              <w:keepNext/>
              <w:spacing w:after="0"/>
            </w:pPr>
            <w:r>
              <w:rPr>
                <w:sz w:val="17"/>
              </w:rPr>
              <w:t>beats_mean_baseline, beats_ridge_baseline, production_regression_within_limit</w:t>
            </w:r>
          </w:p>
        </w:tc>
      </w:tr>
      <w:tr w:rsidR="00B87DF5" w14:paraId="7A1DEC0D" w14:textId="77777777">
        <w:trPr>
          <w:jc w:val="center"/>
        </w:trPr>
        <w:tc>
          <w:tcPr>
            <w:tcW w:w="3402" w:type="dxa"/>
          </w:tcPr>
          <w:p w14:paraId="44347E51" w14:textId="77777777" w:rsidR="00B87DF5" w:rsidRDefault="007B1330">
            <w:pPr>
              <w:spacing w:after="0"/>
            </w:pPr>
            <w:r>
              <w:rPr>
                <w:sz w:val="17"/>
              </w:rPr>
              <w:t>Decision</w:t>
            </w:r>
          </w:p>
        </w:tc>
        <w:tc>
          <w:tcPr>
            <w:tcW w:w="6236" w:type="dxa"/>
          </w:tcPr>
          <w:p w14:paraId="2CDECAFC" w14:textId="77777777" w:rsidR="00B87DF5" w:rsidRDefault="007B1330">
            <w:pPr>
              <w:spacing w:after="0"/>
            </w:pPr>
            <w:r>
              <w:rPr>
                <w:b/>
                <w:sz w:val="17"/>
              </w:rPr>
              <w:t>blocked</w:t>
            </w:r>
            <w:r>
              <w:rPr>
                <w:sz w:val="17"/>
              </w:rPr>
              <w:t xml:space="preserve"> — Production energy and dwell aliases stayed at version 1</w:t>
            </w:r>
          </w:p>
        </w:tc>
      </w:tr>
    </w:tbl>
    <w:p w14:paraId="68F5AC00" w14:textId="77777777" w:rsidR="00B87DF5" w:rsidRDefault="00B87DF5">
      <w:pPr>
        <w:spacing w:after="40"/>
      </w:pPr>
    </w:p>
    <w:p w14:paraId="33D470D0" w14:textId="77777777" w:rsidR="00B87DF5" w:rsidRDefault="007B1330">
      <w:pPr>
        <w:pStyle w:val="Heading2"/>
      </w:pPr>
      <w:r>
        <w:t>4.4 Serving, packaging and parity</w:t>
      </w:r>
    </w:p>
    <w:p w14:paraId="77F8BC38" w14:textId="77777777" w:rsidR="00B87DF5" w:rsidRDefault="007B1330">
      <w:r>
        <w:t xml:space="preserve">FastAPI serves </w:t>
      </w:r>
      <w:r>
        <w:rPr>
          <w:rFonts w:ascii="Consolas" w:hAnsi="Consolas"/>
          <w:sz w:val="19"/>
        </w:rPr>
        <w:t>/predict</w:t>
      </w:r>
      <w:r>
        <w:t xml:space="preserve">, </w:t>
      </w:r>
      <w:r>
        <w:rPr>
          <w:rFonts w:ascii="Consolas" w:hAnsi="Consolas"/>
          <w:sz w:val="19"/>
        </w:rPr>
        <w:t>/health</w:t>
      </w:r>
      <w:r>
        <w:t xml:space="preserve"> and </w:t>
      </w:r>
      <w:r>
        <w:rPr>
          <w:rFonts w:ascii="Consolas" w:hAnsi="Consolas"/>
          <w:sz w:val="19"/>
        </w:rPr>
        <w:t>/metrics</w:t>
      </w:r>
      <w:r>
        <w:t xml:space="preserve"> from a Docker image with pinned dependencies. In Compose, the API loads </w:t>
      </w:r>
      <w:r>
        <w:rPr>
          <w:rFonts w:ascii="Consolas" w:hAnsi="Consolas"/>
          <w:sz w:val="19"/>
        </w:rPr>
        <w:t>evcharge-sample-energy@production</w:t>
      </w:r>
      <w:r>
        <w:t xml:space="preserve"> from a local MLflow server, and an empty registry is bootstrapped by a one-shot container. Requests are validated by a Pydantic schema that rejects post-hoc fields. Each prediction is exported as Prometheus counters and histograms and appended to a JSON log of encoded features, without raw site or station identifiers. The API uses the same feature module as training, and a test rebuilds 1,000 sessions through the request path and asserts the feature matrices are identical. A live container smoke test check</w:t>
      </w:r>
      <w:r>
        <w:t>s the running stack.</w:t>
      </w:r>
    </w:p>
    <w:p w14:paraId="1C599653" w14:textId="77777777" w:rsidR="00B87DF5" w:rsidRDefault="007B1330">
      <w:pPr>
        <w:keepNext/>
        <w:jc w:val="center"/>
      </w:pPr>
      <w:r>
        <w:rPr>
          <w:noProof/>
        </w:rPr>
        <w:drawing>
          <wp:inline distT="0" distB="0" distL="0" distR="0" wp14:anchorId="07761A33" wp14:editId="58D7BA6B">
            <wp:extent cx="4680000" cy="23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pi_docs.png"/>
                    <pic:cNvPicPr/>
                  </pic:nvPicPr>
                  <pic:blipFill>
                    <a:blip r:embed="rId12"/>
                    <a:stretch>
                      <a:fillRect/>
                    </a:stretch>
                  </pic:blipFill>
                  <pic:spPr>
                    <a:xfrm>
                      <a:off x="0" y="0"/>
                      <a:ext cx="4680000" cy="2340000"/>
                    </a:xfrm>
                    <a:prstGeom prst="rect">
                      <a:avLst/>
                    </a:prstGeom>
                  </pic:spPr>
                </pic:pic>
              </a:graphicData>
            </a:graphic>
          </wp:inline>
        </w:drawing>
      </w:r>
    </w:p>
    <w:p w14:paraId="33E8A9DF" w14:textId="77777777" w:rsidR="00B87DF5" w:rsidRDefault="007B1330">
      <w:pPr>
        <w:spacing w:after="160"/>
        <w:jc w:val="center"/>
      </w:pPr>
      <w:r>
        <w:rPr>
          <w:i/>
          <w:sz w:val="17"/>
        </w:rPr>
        <w:t>Figure 5. Served API contract (FastAPI /docs on the local Compose stack).</w:t>
      </w:r>
    </w:p>
    <w:p w14:paraId="7FC9A0EE" w14:textId="77777777" w:rsidR="00B87DF5" w:rsidRDefault="007B1330">
      <w:pPr>
        <w:pStyle w:val="Heading2"/>
      </w:pPr>
      <w:r>
        <w:t>4.5 Drift monitoring and detector validation</w:t>
      </w:r>
    </w:p>
    <w:p w14:paraId="752FD141" w14:textId="77777777" w:rsidR="00B87DF5" w:rsidRDefault="007B1330">
      <w:r>
        <w:t>A monthly Prefect flow fetches, normalises and validates each new or changed month. Content fingerprints let unchanged months skip work. The flow then scores the month against a checksum-verified frozen reference (2019-07 to 2020-02, 19,144 rows). It computes per-feature PSI and Jensen–Shannon distance, KS for numeric features, and target and prediction drift, all with sample counts and missingness. Scores go to Pushgateway, which Prometheus scrapes; alert rules fire on delivered-energy PSI &gt; 0.2 and Grafan</w:t>
      </w:r>
      <w:r>
        <w:t>a shows the dashboard. When the latest scored month breaches the threshold, the flow calls the quality-gated retraining flow directly; the Prometheus alert is the operator-facing signal.</w:t>
      </w:r>
    </w:p>
    <w:p w14:paraId="467BA220" w14:textId="77777777" w:rsidR="00B87DF5" w:rsidRDefault="007B1330">
      <w:pPr>
        <w:keepNext/>
        <w:jc w:val="center"/>
      </w:pPr>
      <w:r>
        <w:rPr>
          <w:noProof/>
        </w:rPr>
        <w:drawing>
          <wp:inline distT="0" distB="0" distL="0" distR="0" wp14:anchorId="671774EF" wp14:editId="09EDDB68">
            <wp:extent cx="5940000" cy="26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psi.png"/>
                    <pic:cNvPicPr/>
                  </pic:nvPicPr>
                  <pic:blipFill>
                    <a:blip r:embed="rId13"/>
                    <a:stretch>
                      <a:fillRect/>
                    </a:stretch>
                  </pic:blipFill>
                  <pic:spPr>
                    <a:xfrm>
                      <a:off x="0" y="0"/>
                      <a:ext cx="5940000" cy="2640000"/>
                    </a:xfrm>
                    <a:prstGeom prst="rect">
                      <a:avLst/>
                    </a:prstGeom>
                  </pic:spPr>
                </pic:pic>
              </a:graphicData>
            </a:graphic>
          </wp:inline>
        </w:drawing>
      </w:r>
    </w:p>
    <w:p w14:paraId="100774AD" w14:textId="77777777" w:rsidR="00B87DF5" w:rsidRDefault="007B1330">
      <w:pPr>
        <w:spacing w:after="160"/>
        <w:jc w:val="center"/>
      </w:pPr>
      <w:r>
        <w:rPr>
          <w:i/>
          <w:sz w:val="17"/>
        </w:rPr>
        <w:t>Figure 6. Delivered-energy PSI: leave-one-month-out stable months and the monitored 2020 batches.</w:t>
      </w:r>
    </w:p>
    <w:tbl>
      <w:tblPr>
        <w:tblStyle w:val="TableGrid"/>
        <w:tblW w:w="0" w:type="auto"/>
        <w:jc w:val="center"/>
        <w:tblLook w:val="04A0" w:firstRow="1" w:lastRow="0" w:firstColumn="1" w:lastColumn="0" w:noHBand="0" w:noVBand="1"/>
      </w:tblPr>
      <w:tblGrid>
        <w:gridCol w:w="2835"/>
        <w:gridCol w:w="4195"/>
        <w:gridCol w:w="2608"/>
      </w:tblGrid>
      <w:tr w:rsidR="00B87DF5" w14:paraId="52A31AB7" w14:textId="77777777">
        <w:trPr>
          <w:jc w:val="center"/>
        </w:trPr>
        <w:tc>
          <w:tcPr>
            <w:tcW w:w="2835" w:type="dxa"/>
            <w:shd w:val="clear" w:color="auto" w:fill="1F4E79"/>
          </w:tcPr>
          <w:p w14:paraId="0913DC87" w14:textId="77777777" w:rsidR="00B87DF5" w:rsidRDefault="007B1330">
            <w:pPr>
              <w:keepNext/>
              <w:spacing w:after="0"/>
            </w:pPr>
            <w:r>
              <w:rPr>
                <w:b/>
                <w:color w:val="FFFFFF"/>
                <w:sz w:val="17"/>
              </w:rPr>
              <w:lastRenderedPageBreak/>
              <w:t>Test</w:t>
            </w:r>
          </w:p>
        </w:tc>
        <w:tc>
          <w:tcPr>
            <w:tcW w:w="4195" w:type="dxa"/>
            <w:shd w:val="clear" w:color="auto" w:fill="1F4E79"/>
          </w:tcPr>
          <w:p w14:paraId="59FFEC0D" w14:textId="77777777" w:rsidR="00B87DF5" w:rsidRDefault="007B1330">
            <w:pPr>
              <w:keepNext/>
              <w:spacing w:after="0"/>
            </w:pPr>
            <w:r>
              <w:rPr>
                <w:b/>
                <w:color w:val="FFFFFF"/>
                <w:sz w:val="17"/>
              </w:rPr>
              <w:t>Result</w:t>
            </w:r>
          </w:p>
        </w:tc>
        <w:tc>
          <w:tcPr>
            <w:tcW w:w="2608" w:type="dxa"/>
            <w:shd w:val="clear" w:color="auto" w:fill="1F4E79"/>
          </w:tcPr>
          <w:p w14:paraId="4A0F93BA" w14:textId="77777777" w:rsidR="00B87DF5" w:rsidRDefault="007B1330">
            <w:pPr>
              <w:keepNext/>
              <w:spacing w:after="0"/>
            </w:pPr>
            <w:r>
              <w:rPr>
                <w:b/>
                <w:color w:val="FFFFFF"/>
                <w:sz w:val="17"/>
              </w:rPr>
              <w:t>Verdict</w:t>
            </w:r>
          </w:p>
        </w:tc>
      </w:tr>
      <w:tr w:rsidR="00B87DF5" w14:paraId="5B6C1360" w14:textId="77777777">
        <w:trPr>
          <w:jc w:val="center"/>
        </w:trPr>
        <w:tc>
          <w:tcPr>
            <w:tcW w:w="2835" w:type="dxa"/>
          </w:tcPr>
          <w:p w14:paraId="5644B7A5" w14:textId="77777777" w:rsidR="00B87DF5" w:rsidRDefault="007B1330">
            <w:pPr>
              <w:keepNext/>
              <w:spacing w:after="0"/>
            </w:pPr>
            <w:r>
              <w:rPr>
                <w:sz w:val="17"/>
              </w:rPr>
              <w:t>H1: April 2020 delivered-energy PSI</w:t>
            </w:r>
          </w:p>
        </w:tc>
        <w:tc>
          <w:tcPr>
            <w:tcW w:w="4195" w:type="dxa"/>
          </w:tcPr>
          <w:p w14:paraId="254614A0" w14:textId="77777777" w:rsidR="00B87DF5" w:rsidRDefault="007B1330">
            <w:pPr>
              <w:keepNext/>
              <w:spacing w:after="0"/>
            </w:pPr>
            <w:r>
              <w:rPr>
                <w:sz w:val="17"/>
              </w:rPr>
              <w:t>0.231 (KS 0.180, p = 3.5e−7; JS 0.164; 240 rows)</w:t>
            </w:r>
          </w:p>
        </w:tc>
        <w:tc>
          <w:tcPr>
            <w:tcW w:w="2608" w:type="dxa"/>
          </w:tcPr>
          <w:p w14:paraId="0C92163E" w14:textId="77777777" w:rsidR="00B87DF5" w:rsidRDefault="007B1330">
            <w:pPr>
              <w:keepNext/>
              <w:spacing w:after="0"/>
            </w:pPr>
            <w:r>
              <w:rPr>
                <w:b/>
                <w:sz w:val="17"/>
              </w:rPr>
              <w:t>Alert</w:t>
            </w:r>
            <w:r>
              <w:rPr>
                <w:sz w:val="17"/>
              </w:rPr>
              <w:t>, one month after March onset</w:t>
            </w:r>
          </w:p>
        </w:tc>
      </w:tr>
      <w:tr w:rsidR="00B87DF5" w14:paraId="49E785D3" w14:textId="77777777">
        <w:trPr>
          <w:jc w:val="center"/>
        </w:trPr>
        <w:tc>
          <w:tcPr>
            <w:tcW w:w="2835" w:type="dxa"/>
            <w:shd w:val="clear" w:color="auto" w:fill="EAF1F8"/>
          </w:tcPr>
          <w:p w14:paraId="5C303552" w14:textId="77777777" w:rsidR="00B87DF5" w:rsidRDefault="007B1330">
            <w:pPr>
              <w:keepNext/>
              <w:spacing w:after="0"/>
            </w:pPr>
            <w:r>
              <w:rPr>
                <w:sz w:val="17"/>
              </w:rPr>
              <w:t>H1: March 2020</w:t>
            </w:r>
          </w:p>
        </w:tc>
        <w:tc>
          <w:tcPr>
            <w:tcW w:w="4195" w:type="dxa"/>
            <w:shd w:val="clear" w:color="auto" w:fill="EAF1F8"/>
          </w:tcPr>
          <w:p w14:paraId="407A76C3" w14:textId="77777777" w:rsidR="00B87DF5" w:rsidRDefault="007B1330">
            <w:pPr>
              <w:keepNext/>
              <w:spacing w:after="0"/>
            </w:pPr>
            <w:r>
              <w:rPr>
                <w:sz w:val="17"/>
              </w:rPr>
              <w:t>PSI 0.013; volume −42% / −54%</w:t>
            </w:r>
          </w:p>
        </w:tc>
        <w:tc>
          <w:tcPr>
            <w:tcW w:w="2608" w:type="dxa"/>
            <w:shd w:val="clear" w:color="auto" w:fill="EAF1F8"/>
          </w:tcPr>
          <w:p w14:paraId="352AE6DD" w14:textId="77777777" w:rsidR="00B87DF5" w:rsidRDefault="007B1330">
            <w:pPr>
              <w:keepNext/>
              <w:spacing w:after="0"/>
            </w:pPr>
            <w:r>
              <w:rPr>
                <w:sz w:val="17"/>
              </w:rPr>
              <w:t>No alert; not an early warning</w:t>
            </w:r>
          </w:p>
        </w:tc>
      </w:tr>
      <w:tr w:rsidR="00B87DF5" w14:paraId="56CC5159" w14:textId="77777777">
        <w:trPr>
          <w:jc w:val="center"/>
        </w:trPr>
        <w:tc>
          <w:tcPr>
            <w:tcW w:w="2835" w:type="dxa"/>
          </w:tcPr>
          <w:p w14:paraId="5205CBD0" w14:textId="77777777" w:rsidR="00B87DF5" w:rsidRDefault="007B1330">
            <w:pPr>
              <w:keepNext/>
              <w:spacing w:after="0"/>
            </w:pPr>
            <w:r>
              <w:rPr>
                <w:sz w:val="17"/>
              </w:rPr>
              <w:t>False alarms (leave-one-month-out)</w:t>
            </w:r>
          </w:p>
        </w:tc>
        <w:tc>
          <w:tcPr>
            <w:tcW w:w="4195" w:type="dxa"/>
          </w:tcPr>
          <w:p w14:paraId="4368D470" w14:textId="77777777" w:rsidR="00B87DF5" w:rsidRDefault="007B1330">
            <w:pPr>
              <w:keepNext/>
              <w:spacing w:after="0"/>
            </w:pPr>
            <w:r>
              <w:rPr>
                <w:sz w:val="17"/>
              </w:rPr>
              <w:t>0 of 8 months; PSI 0.005–0.022</w:t>
            </w:r>
          </w:p>
        </w:tc>
        <w:tc>
          <w:tcPr>
            <w:tcW w:w="2608" w:type="dxa"/>
          </w:tcPr>
          <w:p w14:paraId="27AA996A" w14:textId="77777777" w:rsidR="00B87DF5" w:rsidRDefault="007B1330">
            <w:pPr>
              <w:keepNext/>
              <w:spacing w:after="0"/>
            </w:pPr>
            <w:r>
              <w:rPr>
                <w:sz w:val="17"/>
              </w:rPr>
              <w:t>Pass</w:t>
            </w:r>
          </w:p>
        </w:tc>
      </w:tr>
      <w:tr w:rsidR="00B87DF5" w14:paraId="6180673A" w14:textId="77777777">
        <w:trPr>
          <w:jc w:val="center"/>
        </w:trPr>
        <w:tc>
          <w:tcPr>
            <w:tcW w:w="2835" w:type="dxa"/>
            <w:shd w:val="clear" w:color="auto" w:fill="EAF1F8"/>
          </w:tcPr>
          <w:p w14:paraId="77599500" w14:textId="77777777" w:rsidR="00B87DF5" w:rsidRDefault="007B1330">
            <w:pPr>
              <w:keepNext/>
              <w:spacing w:after="0"/>
            </w:pPr>
            <w:r>
              <w:rPr>
                <w:sz w:val="17"/>
              </w:rPr>
              <w:t>Sensitivity (injected energy shift)</w:t>
            </w:r>
          </w:p>
        </w:tc>
        <w:tc>
          <w:tcPr>
            <w:tcW w:w="4195" w:type="dxa"/>
            <w:shd w:val="clear" w:color="auto" w:fill="EAF1F8"/>
          </w:tcPr>
          <w:p w14:paraId="42B620C1" w14:textId="77777777" w:rsidR="00B87DF5" w:rsidRDefault="007B1330">
            <w:pPr>
              <w:keepNext/>
              <w:spacing w:after="0"/>
            </w:pPr>
            <w:r>
              <w:rPr>
                <w:sz w:val="17"/>
              </w:rPr>
              <w:t>+20% → 0.112; +30% → 0.209; +100% → 0.789</w:t>
            </w:r>
          </w:p>
        </w:tc>
        <w:tc>
          <w:tcPr>
            <w:tcW w:w="2608" w:type="dxa"/>
            <w:shd w:val="clear" w:color="auto" w:fill="EAF1F8"/>
          </w:tcPr>
          <w:p w14:paraId="60135A69" w14:textId="77777777" w:rsidR="00B87DF5" w:rsidRDefault="007B1330">
            <w:pPr>
              <w:keepNext/>
              <w:spacing w:after="0"/>
            </w:pPr>
            <w:r>
              <w:rPr>
                <w:sz w:val="17"/>
              </w:rPr>
              <w:t>First alert at +30%</w:t>
            </w:r>
          </w:p>
        </w:tc>
      </w:tr>
      <w:tr w:rsidR="00B87DF5" w14:paraId="4084484E" w14:textId="77777777">
        <w:trPr>
          <w:jc w:val="center"/>
        </w:trPr>
        <w:tc>
          <w:tcPr>
            <w:tcW w:w="2835" w:type="dxa"/>
          </w:tcPr>
          <w:p w14:paraId="16050A4B" w14:textId="77777777" w:rsidR="00B87DF5" w:rsidRDefault="007B1330">
            <w:pPr>
              <w:keepNext/>
              <w:spacing w:after="0"/>
            </w:pPr>
            <w:r>
              <w:rPr>
                <w:sz w:val="17"/>
              </w:rPr>
              <w:t>H2: request p90 (2021-05..09 vs reference)</w:t>
            </w:r>
          </w:p>
        </w:tc>
        <w:tc>
          <w:tcPr>
            <w:tcW w:w="4195" w:type="dxa"/>
          </w:tcPr>
          <w:p w14:paraId="5A689A23" w14:textId="77777777" w:rsidR="00B87DF5" w:rsidRDefault="007B1330">
            <w:pPr>
              <w:keepNext/>
              <w:spacing w:after="0"/>
            </w:pPr>
            <w:r>
              <w:rPr>
                <w:sz w:val="17"/>
              </w:rPr>
              <w:t>Site 0002 +57.5%; 0001 −0.4%; 0019 +185.6% (45 ref. rows)</w:t>
            </w:r>
          </w:p>
        </w:tc>
        <w:tc>
          <w:tcPr>
            <w:tcW w:w="2608" w:type="dxa"/>
          </w:tcPr>
          <w:p w14:paraId="79EE2813" w14:textId="77777777" w:rsidR="00B87DF5" w:rsidRDefault="007B1330">
            <w:pPr>
              <w:keepNext/>
              <w:spacing w:after="0"/>
            </w:pPr>
            <w:r>
              <w:rPr>
                <w:sz w:val="17"/>
              </w:rPr>
              <w:t>Mixed support</w:t>
            </w:r>
          </w:p>
        </w:tc>
      </w:tr>
      <w:tr w:rsidR="00B87DF5" w14:paraId="3662FB9B" w14:textId="77777777">
        <w:trPr>
          <w:jc w:val="center"/>
        </w:trPr>
        <w:tc>
          <w:tcPr>
            <w:tcW w:w="2835" w:type="dxa"/>
            <w:shd w:val="clear" w:color="auto" w:fill="EAF1F8"/>
          </w:tcPr>
          <w:p w14:paraId="2DD6A54A" w14:textId="77777777" w:rsidR="00B87DF5" w:rsidRDefault="007B1330">
            <w:pPr>
              <w:spacing w:after="0"/>
            </w:pPr>
            <w:r>
              <w:rPr>
                <w:sz w:val="17"/>
              </w:rPr>
              <w:t>H3: declared-vs-delivered gap</w:t>
            </w:r>
          </w:p>
        </w:tc>
        <w:tc>
          <w:tcPr>
            <w:tcW w:w="4195" w:type="dxa"/>
            <w:shd w:val="clear" w:color="auto" w:fill="EAF1F8"/>
          </w:tcPr>
          <w:p w14:paraId="1E8FD044" w14:textId="77777777" w:rsidR="00B87DF5" w:rsidRDefault="007B1330">
            <w:pPr>
              <w:spacing w:after="0"/>
            </w:pPr>
            <w:r>
              <w:rPr>
                <w:sz w:val="17"/>
              </w:rPr>
              <w:t>Median 6.35 → 10.12 kWh; PSI 0.261</w:t>
            </w:r>
          </w:p>
        </w:tc>
        <w:tc>
          <w:tcPr>
            <w:tcW w:w="2608" w:type="dxa"/>
            <w:shd w:val="clear" w:color="auto" w:fill="EAF1F8"/>
          </w:tcPr>
          <w:p w14:paraId="0E358604" w14:textId="77777777" w:rsidR="00B87DF5" w:rsidRDefault="007B1330">
            <w:pPr>
              <w:spacing w:after="0"/>
            </w:pPr>
            <w:r>
              <w:rPr>
                <w:sz w:val="17"/>
              </w:rPr>
              <w:t>Supported</w:t>
            </w:r>
          </w:p>
        </w:tc>
      </w:tr>
    </w:tbl>
    <w:p w14:paraId="0E5B2CF9" w14:textId="77777777" w:rsidR="00B87DF5" w:rsidRDefault="00B87DF5">
      <w:pPr>
        <w:spacing w:after="40"/>
      </w:pPr>
    </w:p>
    <w:p w14:paraId="5AD900C1" w14:textId="77777777" w:rsidR="00B87DF5" w:rsidRDefault="007B1330">
      <w:pPr>
        <w:keepNext/>
        <w:jc w:val="center"/>
      </w:pPr>
      <w:r>
        <w:rPr>
          <w:noProof/>
        </w:rPr>
        <w:drawing>
          <wp:inline distT="0" distB="0" distL="0" distR="0" wp14:anchorId="0506CB73" wp14:editId="70B7A3C3">
            <wp:extent cx="3780000" cy="23261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png"/>
                    <pic:cNvPicPr/>
                  </pic:nvPicPr>
                  <pic:blipFill>
                    <a:blip r:embed="rId14"/>
                    <a:stretch>
                      <a:fillRect/>
                    </a:stretch>
                  </pic:blipFill>
                  <pic:spPr>
                    <a:xfrm>
                      <a:off x="0" y="0"/>
                      <a:ext cx="3780000" cy="2326154"/>
                    </a:xfrm>
                    <a:prstGeom prst="rect">
                      <a:avLst/>
                    </a:prstGeom>
                  </pic:spPr>
                </pic:pic>
              </a:graphicData>
            </a:graphic>
          </wp:inline>
        </w:drawing>
      </w:r>
    </w:p>
    <w:p w14:paraId="51FEE413" w14:textId="77777777" w:rsidR="00B87DF5" w:rsidRDefault="007B1330">
      <w:pPr>
        <w:spacing w:after="160"/>
        <w:jc w:val="center"/>
      </w:pPr>
      <w:r>
        <w:rPr>
          <w:i/>
          <w:sz w:val="17"/>
        </w:rPr>
        <w:t>Figure 7. Controlled sensitivity: PSI against an injected multiplicative energy shift.</w:t>
      </w:r>
    </w:p>
    <w:p w14:paraId="3A807F53" w14:textId="77777777" w:rsidR="00B87DF5" w:rsidRDefault="007B1330">
      <w:pPr>
        <w:keepNext/>
        <w:jc w:val="center"/>
      </w:pPr>
      <w:r>
        <w:rPr>
          <w:noProof/>
        </w:rPr>
        <w:drawing>
          <wp:inline distT="0" distB="0" distL="0" distR="0" wp14:anchorId="50125764" wp14:editId="6AAF725D">
            <wp:extent cx="4860000" cy="3796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grafana_drift.png"/>
                    <pic:cNvPicPr/>
                  </pic:nvPicPr>
                  <pic:blipFill>
                    <a:blip r:embed="rId15"/>
                    <a:stretch>
                      <a:fillRect/>
                    </a:stretch>
                  </pic:blipFill>
                  <pic:spPr>
                    <a:xfrm>
                      <a:off x="0" y="0"/>
                      <a:ext cx="4860000" cy="3796875"/>
                    </a:xfrm>
                    <a:prstGeom prst="rect">
                      <a:avLst/>
                    </a:prstGeom>
                  </pic:spPr>
                </pic:pic>
              </a:graphicData>
            </a:graphic>
          </wp:inline>
        </w:drawing>
      </w:r>
    </w:p>
    <w:p w14:paraId="6EA1657F" w14:textId="77777777" w:rsidR="00B87DF5" w:rsidRDefault="007B1330">
      <w:pPr>
        <w:spacing w:after="160"/>
        <w:jc w:val="center"/>
      </w:pPr>
      <w:r>
        <w:rPr>
          <w:i/>
          <w:sz w:val="17"/>
        </w:rPr>
        <w:t>Figure 8. Grafana drift dashboard showing the April 2020 alert state (aggregate scores).</w:t>
      </w:r>
    </w:p>
    <w:p w14:paraId="40BFAAE1" w14:textId="77777777" w:rsidR="00B87DF5" w:rsidRDefault="007B1330">
      <w:pPr>
        <w:pStyle w:val="Heading2"/>
      </w:pPr>
      <w:r>
        <w:t>4.6 Retraining recovery: a measured null result</w:t>
      </w:r>
    </w:p>
    <w:p w14:paraId="140B4964" w14:textId="77777777" w:rsidR="00B87DF5" w:rsidRDefault="007B1330">
      <w:r>
        <w:t xml:space="preserve">The recovery target was a post-shift MAE within 10% of the pre-shift 4.40 kWh, i.e. ≤ 4.84 kWh. I tested two chronological retraining windows, each with a held-out later test period excluded from fitting and selection. </w:t>
      </w:r>
      <w:r>
        <w:rPr>
          <w:b/>
        </w:rPr>
        <w:t>Neither met the target.</w:t>
      </w:r>
    </w:p>
    <w:p w14:paraId="100B3807" w14:textId="77777777" w:rsidR="00B87DF5" w:rsidRDefault="007B1330">
      <w:pPr>
        <w:keepNext/>
        <w:jc w:val="center"/>
      </w:pPr>
      <w:r>
        <w:rPr>
          <w:noProof/>
        </w:rPr>
        <w:lastRenderedPageBreak/>
        <w:drawing>
          <wp:inline distT="0" distB="0" distL="0" distR="0" wp14:anchorId="67C34E39" wp14:editId="4A9CC4E3">
            <wp:extent cx="4320000" cy="230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very.png"/>
                    <pic:cNvPicPr/>
                  </pic:nvPicPr>
                  <pic:blipFill>
                    <a:blip r:embed="rId16"/>
                    <a:stretch>
                      <a:fillRect/>
                    </a:stretch>
                  </pic:blipFill>
                  <pic:spPr>
                    <a:xfrm>
                      <a:off x="0" y="0"/>
                      <a:ext cx="4320000" cy="2304000"/>
                    </a:xfrm>
                    <a:prstGeom prst="rect">
                      <a:avLst/>
                    </a:prstGeom>
                  </pic:spPr>
                </pic:pic>
              </a:graphicData>
            </a:graphic>
          </wp:inline>
        </w:drawing>
      </w:r>
    </w:p>
    <w:p w14:paraId="19712EF3" w14:textId="77777777" w:rsidR="00B87DF5" w:rsidRDefault="007B1330">
      <w:pPr>
        <w:spacing w:after="160"/>
        <w:jc w:val="center"/>
      </w:pPr>
      <w:r>
        <w:rPr>
          <w:i/>
          <w:sz w:val="17"/>
        </w:rPr>
        <w:t>Figure 9. Post-shift MAE before and after chronological retraining against the declared target.</w:t>
      </w:r>
    </w:p>
    <w:tbl>
      <w:tblPr>
        <w:tblStyle w:val="TableGrid"/>
        <w:tblW w:w="0" w:type="auto"/>
        <w:jc w:val="center"/>
        <w:tblLook w:val="04A0" w:firstRow="1" w:lastRow="0" w:firstColumn="1" w:lastColumn="0" w:noHBand="0" w:noVBand="1"/>
      </w:tblPr>
      <w:tblGrid>
        <w:gridCol w:w="1701"/>
        <w:gridCol w:w="1587"/>
        <w:gridCol w:w="1701"/>
        <w:gridCol w:w="1247"/>
        <w:gridCol w:w="1134"/>
        <w:gridCol w:w="2268"/>
      </w:tblGrid>
      <w:tr w:rsidR="00B87DF5" w14:paraId="5EDD6349" w14:textId="77777777">
        <w:trPr>
          <w:jc w:val="center"/>
        </w:trPr>
        <w:tc>
          <w:tcPr>
            <w:tcW w:w="1701" w:type="dxa"/>
            <w:shd w:val="clear" w:color="auto" w:fill="1F4E79"/>
          </w:tcPr>
          <w:p w14:paraId="2622E1EB" w14:textId="77777777" w:rsidR="00B87DF5" w:rsidRDefault="007B1330">
            <w:pPr>
              <w:keepNext/>
              <w:spacing w:after="0"/>
            </w:pPr>
            <w:r>
              <w:rPr>
                <w:b/>
                <w:color w:val="FFFFFF"/>
                <w:sz w:val="17"/>
              </w:rPr>
              <w:t>Trained through</w:t>
            </w:r>
          </w:p>
        </w:tc>
        <w:tc>
          <w:tcPr>
            <w:tcW w:w="1587" w:type="dxa"/>
            <w:shd w:val="clear" w:color="auto" w:fill="1F4E79"/>
          </w:tcPr>
          <w:p w14:paraId="2341AC58" w14:textId="77777777" w:rsidR="00B87DF5" w:rsidRDefault="007B1330">
            <w:pPr>
              <w:keepNext/>
              <w:spacing w:after="0"/>
            </w:pPr>
            <w:r>
              <w:rPr>
                <w:b/>
                <w:color w:val="FFFFFF"/>
                <w:sz w:val="17"/>
              </w:rPr>
              <w:t>Validation</w:t>
            </w:r>
          </w:p>
        </w:tc>
        <w:tc>
          <w:tcPr>
            <w:tcW w:w="1701" w:type="dxa"/>
            <w:shd w:val="clear" w:color="auto" w:fill="1F4E79"/>
          </w:tcPr>
          <w:p w14:paraId="297D79BF" w14:textId="77777777" w:rsidR="00B87DF5" w:rsidRDefault="007B1330">
            <w:pPr>
              <w:keepNext/>
              <w:spacing w:after="0"/>
            </w:pPr>
            <w:r>
              <w:rPr>
                <w:b/>
                <w:color w:val="FFFFFF"/>
                <w:sz w:val="17"/>
              </w:rPr>
              <w:t>Held-out test</w:t>
            </w:r>
          </w:p>
        </w:tc>
        <w:tc>
          <w:tcPr>
            <w:tcW w:w="1247" w:type="dxa"/>
            <w:shd w:val="clear" w:color="auto" w:fill="1F4E79"/>
          </w:tcPr>
          <w:p w14:paraId="4DB45CB1" w14:textId="77777777" w:rsidR="00B87DF5" w:rsidRDefault="007B1330">
            <w:pPr>
              <w:keepNext/>
              <w:spacing w:after="0"/>
            </w:pPr>
            <w:r>
              <w:rPr>
                <w:b/>
                <w:color w:val="FFFFFF"/>
                <w:sz w:val="17"/>
              </w:rPr>
              <w:t>Test rows</w:t>
            </w:r>
          </w:p>
        </w:tc>
        <w:tc>
          <w:tcPr>
            <w:tcW w:w="1134" w:type="dxa"/>
            <w:shd w:val="clear" w:color="auto" w:fill="1F4E79"/>
          </w:tcPr>
          <w:p w14:paraId="1B54D702" w14:textId="77777777" w:rsidR="00B87DF5" w:rsidRDefault="007B1330">
            <w:pPr>
              <w:keepNext/>
              <w:spacing w:after="0"/>
            </w:pPr>
            <w:r>
              <w:rPr>
                <w:b/>
                <w:color w:val="FFFFFF"/>
                <w:sz w:val="17"/>
              </w:rPr>
              <w:t>MAE</w:t>
            </w:r>
          </w:p>
        </w:tc>
        <w:tc>
          <w:tcPr>
            <w:tcW w:w="2268" w:type="dxa"/>
            <w:shd w:val="clear" w:color="auto" w:fill="1F4E79"/>
          </w:tcPr>
          <w:p w14:paraId="20C92000" w14:textId="77777777" w:rsidR="00B87DF5" w:rsidRDefault="007B1330">
            <w:pPr>
              <w:keepNext/>
              <w:spacing w:after="0"/>
            </w:pPr>
            <w:r>
              <w:rPr>
                <w:b/>
                <w:color w:val="FFFFFF"/>
                <w:sz w:val="17"/>
              </w:rPr>
              <w:t>Within 4.84?</w:t>
            </w:r>
          </w:p>
        </w:tc>
      </w:tr>
      <w:tr w:rsidR="00B87DF5" w14:paraId="13C63331" w14:textId="77777777">
        <w:trPr>
          <w:jc w:val="center"/>
        </w:trPr>
        <w:tc>
          <w:tcPr>
            <w:tcW w:w="1701" w:type="dxa"/>
          </w:tcPr>
          <w:p w14:paraId="6E36C5B4" w14:textId="77777777" w:rsidR="00B87DF5" w:rsidRDefault="007B1330">
            <w:pPr>
              <w:keepNext/>
              <w:spacing w:after="0"/>
            </w:pPr>
            <w:r>
              <w:rPr>
                <w:sz w:val="17"/>
              </w:rPr>
              <w:t>2020-06</w:t>
            </w:r>
          </w:p>
        </w:tc>
        <w:tc>
          <w:tcPr>
            <w:tcW w:w="1587" w:type="dxa"/>
          </w:tcPr>
          <w:p w14:paraId="464B7098" w14:textId="77777777" w:rsidR="00B87DF5" w:rsidRDefault="007B1330">
            <w:pPr>
              <w:keepNext/>
              <w:spacing w:after="0"/>
            </w:pPr>
            <w:r>
              <w:rPr>
                <w:sz w:val="17"/>
              </w:rPr>
              <w:t>2020-07..08</w:t>
            </w:r>
          </w:p>
        </w:tc>
        <w:tc>
          <w:tcPr>
            <w:tcW w:w="1701" w:type="dxa"/>
          </w:tcPr>
          <w:p w14:paraId="572B47C4" w14:textId="77777777" w:rsidR="00B87DF5" w:rsidRDefault="007B1330">
            <w:pPr>
              <w:keepNext/>
              <w:spacing w:after="0"/>
            </w:pPr>
            <w:r>
              <w:rPr>
                <w:sz w:val="17"/>
              </w:rPr>
              <w:t>2020-09..12</w:t>
            </w:r>
          </w:p>
        </w:tc>
        <w:tc>
          <w:tcPr>
            <w:tcW w:w="1247" w:type="dxa"/>
          </w:tcPr>
          <w:p w14:paraId="326D0E29" w14:textId="77777777" w:rsidR="00B87DF5" w:rsidRDefault="007B1330">
            <w:pPr>
              <w:keepNext/>
              <w:spacing w:after="0"/>
            </w:pPr>
            <w:r>
              <w:rPr>
                <w:sz w:val="17"/>
              </w:rPr>
              <w:t>869</w:t>
            </w:r>
          </w:p>
        </w:tc>
        <w:tc>
          <w:tcPr>
            <w:tcW w:w="1134" w:type="dxa"/>
          </w:tcPr>
          <w:p w14:paraId="1CC4FA36" w14:textId="77777777" w:rsidR="00B87DF5" w:rsidRDefault="007B1330">
            <w:pPr>
              <w:keepNext/>
              <w:spacing w:after="0"/>
            </w:pPr>
            <w:r>
              <w:rPr>
                <w:sz w:val="17"/>
              </w:rPr>
              <w:t>6.641</w:t>
            </w:r>
          </w:p>
        </w:tc>
        <w:tc>
          <w:tcPr>
            <w:tcW w:w="2268" w:type="dxa"/>
          </w:tcPr>
          <w:p w14:paraId="4BBFAFC0" w14:textId="77777777" w:rsidR="00B87DF5" w:rsidRDefault="007B1330">
            <w:pPr>
              <w:keepNext/>
              <w:spacing w:after="0"/>
            </w:pPr>
            <w:r>
              <w:rPr>
                <w:sz w:val="17"/>
              </w:rPr>
              <w:t>No</w:t>
            </w:r>
          </w:p>
        </w:tc>
      </w:tr>
      <w:tr w:rsidR="00B87DF5" w14:paraId="64159DF0" w14:textId="77777777">
        <w:trPr>
          <w:jc w:val="center"/>
        </w:trPr>
        <w:tc>
          <w:tcPr>
            <w:tcW w:w="1701" w:type="dxa"/>
            <w:shd w:val="clear" w:color="auto" w:fill="EAF1F8"/>
          </w:tcPr>
          <w:p w14:paraId="35A69B7E" w14:textId="77777777" w:rsidR="00B87DF5" w:rsidRDefault="007B1330">
            <w:pPr>
              <w:spacing w:after="0"/>
            </w:pPr>
            <w:r>
              <w:rPr>
                <w:sz w:val="17"/>
              </w:rPr>
              <w:t>2021-02</w:t>
            </w:r>
          </w:p>
        </w:tc>
        <w:tc>
          <w:tcPr>
            <w:tcW w:w="1587" w:type="dxa"/>
            <w:shd w:val="clear" w:color="auto" w:fill="EAF1F8"/>
          </w:tcPr>
          <w:p w14:paraId="53A80F8F" w14:textId="77777777" w:rsidR="00B87DF5" w:rsidRDefault="007B1330">
            <w:pPr>
              <w:spacing w:after="0"/>
            </w:pPr>
            <w:r>
              <w:rPr>
                <w:sz w:val="17"/>
              </w:rPr>
              <w:t>2021-03</w:t>
            </w:r>
          </w:p>
        </w:tc>
        <w:tc>
          <w:tcPr>
            <w:tcW w:w="1701" w:type="dxa"/>
            <w:shd w:val="clear" w:color="auto" w:fill="EAF1F8"/>
          </w:tcPr>
          <w:p w14:paraId="7169B22B" w14:textId="77777777" w:rsidR="00B87DF5" w:rsidRDefault="007B1330">
            <w:pPr>
              <w:spacing w:after="0"/>
            </w:pPr>
            <w:r>
              <w:rPr>
                <w:sz w:val="17"/>
              </w:rPr>
              <w:t>2021-04..05</w:t>
            </w:r>
          </w:p>
        </w:tc>
        <w:tc>
          <w:tcPr>
            <w:tcW w:w="1247" w:type="dxa"/>
            <w:shd w:val="clear" w:color="auto" w:fill="EAF1F8"/>
          </w:tcPr>
          <w:p w14:paraId="7EE517EC" w14:textId="77777777" w:rsidR="00B87DF5" w:rsidRDefault="007B1330">
            <w:pPr>
              <w:spacing w:after="0"/>
            </w:pPr>
            <w:r>
              <w:rPr>
                <w:sz w:val="17"/>
              </w:rPr>
              <w:t>2,055</w:t>
            </w:r>
          </w:p>
        </w:tc>
        <w:tc>
          <w:tcPr>
            <w:tcW w:w="1134" w:type="dxa"/>
            <w:shd w:val="clear" w:color="auto" w:fill="EAF1F8"/>
          </w:tcPr>
          <w:p w14:paraId="35D3C620" w14:textId="77777777" w:rsidR="00B87DF5" w:rsidRDefault="007B1330">
            <w:pPr>
              <w:spacing w:after="0"/>
            </w:pPr>
            <w:r>
              <w:rPr>
                <w:sz w:val="17"/>
              </w:rPr>
              <w:t>5.712</w:t>
            </w:r>
          </w:p>
        </w:tc>
        <w:tc>
          <w:tcPr>
            <w:tcW w:w="2268" w:type="dxa"/>
            <w:shd w:val="clear" w:color="auto" w:fill="EAF1F8"/>
          </w:tcPr>
          <w:p w14:paraId="18648A2D" w14:textId="77777777" w:rsidR="00B87DF5" w:rsidRDefault="007B1330">
            <w:pPr>
              <w:spacing w:after="0"/>
            </w:pPr>
            <w:r>
              <w:rPr>
                <w:sz w:val="17"/>
              </w:rPr>
              <w:t>No (+29.8%)</w:t>
            </w:r>
          </w:p>
        </w:tc>
      </w:tr>
    </w:tbl>
    <w:p w14:paraId="2C58E5DE" w14:textId="77777777" w:rsidR="00B87DF5" w:rsidRDefault="00B87DF5">
      <w:pPr>
        <w:spacing w:after="40"/>
      </w:pPr>
    </w:p>
    <w:p w14:paraId="69773BC7" w14:textId="77777777" w:rsidR="00B87DF5" w:rsidRDefault="007B1330">
      <w:r>
        <w:t>Retraining narrows the gap as post-shift data accumulates, but a model trained mostly on the old regime does not recover pre-shift accuracy. The pipeline therefore does what it should: it detects the shift, blocks regressions, and allows rollback. It does not claim recovery it has not demonstrated.</w:t>
      </w:r>
    </w:p>
    <w:p w14:paraId="1E3D4219" w14:textId="77777777" w:rsidR="00B87DF5" w:rsidRDefault="007B1330">
      <w:pPr>
        <w:pStyle w:val="Heading2"/>
      </w:pPr>
      <w:r>
        <w:t>4.7 Governance and rollback drill</w:t>
      </w:r>
    </w:p>
    <w:p w14:paraId="2F1D75C6" w14:textId="77777777" w:rsidR="00B87DF5" w:rsidRDefault="007B1330">
      <w:r>
        <w:t xml:space="preserve">The rollback runbook repoints the MLflow </w:t>
      </w:r>
      <w:r>
        <w:rPr>
          <w:rFonts w:ascii="Consolas" w:hAnsi="Consolas"/>
          <w:sz w:val="19"/>
        </w:rPr>
        <w:t>production</w:t>
      </w:r>
      <w:r>
        <w:t xml:space="preserve"> alias to the known-good version and redeploys the previous image tag through the </w:t>
      </w:r>
      <w:r>
        <w:rPr>
          <w:rFonts w:ascii="Consolas" w:hAnsi="Consolas"/>
          <w:sz w:val="19"/>
        </w:rPr>
        <w:t>EVCHARGE_IMAGE</w:t>
      </w:r>
      <w:r>
        <w:t xml:space="preserve"> variable. It ran on an isolated Compose project. Promoting v2 changed </w:t>
      </w:r>
      <w:r>
        <w:rPr>
          <w:rFonts w:ascii="Consolas" w:hAnsi="Consolas"/>
          <w:sz w:val="19"/>
        </w:rPr>
        <w:t>/health</w:t>
      </w:r>
      <w:r>
        <w:t xml:space="preserve"> and </w:t>
      </w:r>
      <w:r>
        <w:rPr>
          <w:rFonts w:ascii="Consolas" w:hAnsi="Consolas"/>
          <w:sz w:val="19"/>
        </w:rPr>
        <w:t>/predict</w:t>
      </w:r>
      <w:r>
        <w:t xml:space="preserve"> to v2. Rolling back restored v1 (prediction 10.49 kWh) and the captured previous image digest, and the user-facing stack was untouched. Because the drill reused the same model artifact, it verifies the mechanics, not model quality. </w:t>
      </w:r>
      <w:r>
        <w:rPr>
          <w:rFonts w:ascii="Consolas" w:hAnsi="Consolas"/>
          <w:sz w:val="19"/>
        </w:rPr>
        <w:t>STACK.md</w:t>
      </w:r>
      <w:r>
        <w:t xml:space="preserve"> records each tool against named alternatives, together with a direct licence inventory.</w:t>
      </w:r>
    </w:p>
    <w:p w14:paraId="183C0BB7" w14:textId="77777777" w:rsidR="00B87DF5" w:rsidRDefault="007B1330">
      <w:pPr>
        <w:pStyle w:val="Heading1"/>
      </w:pPr>
      <w:bookmarkStart w:id="4" w:name="_Toc243413797"/>
      <w:r>
        <w:t>5. Strategic Deductions &amp; Business Impact</w:t>
      </w:r>
      <w:bookmarkEnd w:id="4"/>
    </w:p>
    <w:p w14:paraId="529A3CB4" w14:textId="77777777" w:rsidR="00B87DF5" w:rsidRDefault="007B1330">
      <w:pPr>
        <w:pStyle w:val="Heading2"/>
      </w:pPr>
      <w:r>
        <w:t>5.1 From error metrics to operations</w:t>
      </w:r>
    </w:p>
    <w:p w14:paraId="02179B56" w14:textId="77777777" w:rsidR="00B87DF5" w:rsidRDefault="007B1330">
      <w:r>
        <w:t>The translations below use measured per-session errors. To size them, I assume the reference-period volume across the three sites: 19,144 sessions in 244 days, about 78 sessions per day. Summed absolute error is an upper bound on the daily energy a scheduler would hold back if it hedged every session by its typical error; real site-level errors partly cancel.</w:t>
      </w:r>
    </w:p>
    <w:tbl>
      <w:tblPr>
        <w:tblStyle w:val="TableGrid"/>
        <w:tblW w:w="0" w:type="auto"/>
        <w:jc w:val="center"/>
        <w:tblLook w:val="04A0" w:firstRow="1" w:lastRow="0" w:firstColumn="1" w:lastColumn="0" w:noHBand="0" w:noVBand="1"/>
      </w:tblPr>
      <w:tblGrid>
        <w:gridCol w:w="2268"/>
        <w:gridCol w:w="2041"/>
        <w:gridCol w:w="2154"/>
        <w:gridCol w:w="3175"/>
      </w:tblGrid>
      <w:tr w:rsidR="00B87DF5" w14:paraId="64F1F7CB" w14:textId="77777777">
        <w:trPr>
          <w:jc w:val="center"/>
        </w:trPr>
        <w:tc>
          <w:tcPr>
            <w:tcW w:w="2268" w:type="dxa"/>
            <w:shd w:val="clear" w:color="auto" w:fill="1F4E79"/>
          </w:tcPr>
          <w:p w14:paraId="5EAEF2D4" w14:textId="77777777" w:rsidR="00B87DF5" w:rsidRDefault="007B1330">
            <w:pPr>
              <w:keepNext/>
              <w:spacing w:after="0"/>
            </w:pPr>
            <w:r>
              <w:rPr>
                <w:b/>
                <w:color w:val="FFFFFF"/>
                <w:sz w:val="17"/>
              </w:rPr>
              <w:t>Lever</w:t>
            </w:r>
          </w:p>
        </w:tc>
        <w:tc>
          <w:tcPr>
            <w:tcW w:w="2041" w:type="dxa"/>
            <w:shd w:val="clear" w:color="auto" w:fill="1F4E79"/>
          </w:tcPr>
          <w:p w14:paraId="78A69EE2" w14:textId="77777777" w:rsidR="00B87DF5" w:rsidRDefault="007B1330">
            <w:pPr>
              <w:keepNext/>
              <w:spacing w:after="0"/>
            </w:pPr>
            <w:r>
              <w:rPr>
                <w:b/>
                <w:color w:val="FFFFFF"/>
                <w:sz w:val="17"/>
              </w:rPr>
              <w:t>Before</w:t>
            </w:r>
          </w:p>
        </w:tc>
        <w:tc>
          <w:tcPr>
            <w:tcW w:w="2154" w:type="dxa"/>
            <w:shd w:val="clear" w:color="auto" w:fill="1F4E79"/>
          </w:tcPr>
          <w:p w14:paraId="2B2A3C37" w14:textId="77777777" w:rsidR="00B87DF5" w:rsidRDefault="007B1330">
            <w:pPr>
              <w:keepNext/>
              <w:spacing w:after="0"/>
            </w:pPr>
            <w:r>
              <w:rPr>
                <w:b/>
                <w:color w:val="FFFFFF"/>
                <w:sz w:val="17"/>
              </w:rPr>
              <w:t>After</w:t>
            </w:r>
          </w:p>
        </w:tc>
        <w:tc>
          <w:tcPr>
            <w:tcW w:w="3175" w:type="dxa"/>
            <w:shd w:val="clear" w:color="auto" w:fill="1F4E79"/>
          </w:tcPr>
          <w:p w14:paraId="0E54C40E" w14:textId="77777777" w:rsidR="00B87DF5" w:rsidRDefault="007B1330">
            <w:pPr>
              <w:keepNext/>
              <w:spacing w:after="0"/>
            </w:pPr>
            <w:r>
              <w:rPr>
                <w:b/>
                <w:color w:val="FFFFFF"/>
                <w:sz w:val="17"/>
              </w:rPr>
              <w:t>Daily effect at ~78 sessions/day</w:t>
            </w:r>
          </w:p>
        </w:tc>
      </w:tr>
      <w:tr w:rsidR="00B87DF5" w14:paraId="64F3A643" w14:textId="77777777">
        <w:trPr>
          <w:jc w:val="center"/>
        </w:trPr>
        <w:tc>
          <w:tcPr>
            <w:tcW w:w="2268" w:type="dxa"/>
          </w:tcPr>
          <w:p w14:paraId="31BC151E" w14:textId="77777777" w:rsidR="00B87DF5" w:rsidRDefault="007B1330">
            <w:pPr>
              <w:keepNext/>
              <w:spacing w:after="0"/>
            </w:pPr>
            <w:r>
              <w:rPr>
                <w:sz w:val="17"/>
              </w:rPr>
              <w:t>Energy forecast vs naive average</w:t>
            </w:r>
          </w:p>
        </w:tc>
        <w:tc>
          <w:tcPr>
            <w:tcW w:w="2041" w:type="dxa"/>
          </w:tcPr>
          <w:p w14:paraId="1782E8BB" w14:textId="77777777" w:rsidR="00B87DF5" w:rsidRDefault="007B1330">
            <w:pPr>
              <w:keepNext/>
              <w:spacing w:after="0"/>
            </w:pPr>
            <w:r>
              <w:rPr>
                <w:sz w:val="17"/>
              </w:rPr>
              <w:t>7.89 kWh/session</w:t>
            </w:r>
          </w:p>
        </w:tc>
        <w:tc>
          <w:tcPr>
            <w:tcW w:w="2154" w:type="dxa"/>
          </w:tcPr>
          <w:p w14:paraId="142716B1" w14:textId="77777777" w:rsidR="00B87DF5" w:rsidRDefault="007B1330">
            <w:pPr>
              <w:keepNext/>
              <w:spacing w:after="0"/>
            </w:pPr>
            <w:r>
              <w:rPr>
                <w:sz w:val="17"/>
              </w:rPr>
              <w:t>4.40 kWh/session</w:t>
            </w:r>
          </w:p>
        </w:tc>
        <w:tc>
          <w:tcPr>
            <w:tcW w:w="3175" w:type="dxa"/>
          </w:tcPr>
          <w:p w14:paraId="3A9E4617" w14:textId="77777777" w:rsidR="00B87DF5" w:rsidRDefault="007B1330">
            <w:pPr>
              <w:keepNext/>
              <w:spacing w:after="0"/>
            </w:pPr>
            <w:r>
              <w:rPr>
                <w:sz w:val="17"/>
              </w:rPr>
              <w:t>≈ 272 kWh/day less error to buffer (≈ 616 → 344)</w:t>
            </w:r>
          </w:p>
        </w:tc>
      </w:tr>
      <w:tr w:rsidR="00B87DF5" w14:paraId="43BCF212" w14:textId="77777777">
        <w:trPr>
          <w:jc w:val="center"/>
        </w:trPr>
        <w:tc>
          <w:tcPr>
            <w:tcW w:w="2268" w:type="dxa"/>
            <w:shd w:val="clear" w:color="auto" w:fill="EAF1F8"/>
          </w:tcPr>
          <w:p w14:paraId="723E443C" w14:textId="77777777" w:rsidR="00B87DF5" w:rsidRDefault="007B1330">
            <w:pPr>
              <w:keepNext/>
              <w:spacing w:after="0"/>
            </w:pPr>
            <w:r>
              <w:rPr>
                <w:sz w:val="17"/>
              </w:rPr>
              <w:t>Ready-by estimate vs naive average</w:t>
            </w:r>
          </w:p>
        </w:tc>
        <w:tc>
          <w:tcPr>
            <w:tcW w:w="2041" w:type="dxa"/>
            <w:shd w:val="clear" w:color="auto" w:fill="EAF1F8"/>
          </w:tcPr>
          <w:p w14:paraId="59CCA137" w14:textId="77777777" w:rsidR="00B87DF5" w:rsidRDefault="007B1330">
            <w:pPr>
              <w:keepNext/>
              <w:spacing w:after="0"/>
            </w:pPr>
            <w:r>
              <w:rPr>
                <w:sz w:val="17"/>
              </w:rPr>
              <w:t>3.07 h/session</w:t>
            </w:r>
          </w:p>
        </w:tc>
        <w:tc>
          <w:tcPr>
            <w:tcW w:w="2154" w:type="dxa"/>
            <w:shd w:val="clear" w:color="auto" w:fill="EAF1F8"/>
          </w:tcPr>
          <w:p w14:paraId="1A5198B8" w14:textId="77777777" w:rsidR="00B87DF5" w:rsidRDefault="007B1330">
            <w:pPr>
              <w:keepNext/>
              <w:spacing w:after="0"/>
            </w:pPr>
            <w:r>
              <w:rPr>
                <w:sz w:val="17"/>
              </w:rPr>
              <w:t>1.66 h/session</w:t>
            </w:r>
          </w:p>
        </w:tc>
        <w:tc>
          <w:tcPr>
            <w:tcW w:w="3175" w:type="dxa"/>
            <w:shd w:val="clear" w:color="auto" w:fill="EAF1F8"/>
          </w:tcPr>
          <w:p w14:paraId="475C873C" w14:textId="77777777" w:rsidR="00B87DF5" w:rsidRDefault="007B1330">
            <w:pPr>
              <w:keepNext/>
              <w:spacing w:after="0"/>
            </w:pPr>
            <w:r>
              <w:rPr>
                <w:sz w:val="17"/>
              </w:rPr>
              <w:t>≈ 1.4 h closer per driver; ≈ 110 driver-hours/day</w:t>
            </w:r>
          </w:p>
        </w:tc>
      </w:tr>
      <w:tr w:rsidR="00B87DF5" w14:paraId="79C3105F" w14:textId="77777777">
        <w:trPr>
          <w:jc w:val="center"/>
        </w:trPr>
        <w:tc>
          <w:tcPr>
            <w:tcW w:w="2268" w:type="dxa"/>
          </w:tcPr>
          <w:p w14:paraId="429F7E3F" w14:textId="77777777" w:rsidR="00B87DF5" w:rsidRDefault="007B1330">
            <w:pPr>
              <w:keepNext/>
              <w:spacing w:after="0"/>
            </w:pPr>
            <w:r>
              <w:rPr>
                <w:sz w:val="17"/>
              </w:rPr>
              <w:t>Undetected regime change</w:t>
            </w:r>
          </w:p>
        </w:tc>
        <w:tc>
          <w:tcPr>
            <w:tcW w:w="2041" w:type="dxa"/>
          </w:tcPr>
          <w:p w14:paraId="7BBB0B54" w14:textId="77777777" w:rsidR="00B87DF5" w:rsidRDefault="007B1330">
            <w:pPr>
              <w:keepNext/>
              <w:spacing w:after="0"/>
            </w:pPr>
            <w:r>
              <w:rPr>
                <w:sz w:val="17"/>
              </w:rPr>
              <w:t>+1.87 kWh/session for months</w:t>
            </w:r>
          </w:p>
        </w:tc>
        <w:tc>
          <w:tcPr>
            <w:tcW w:w="2154" w:type="dxa"/>
          </w:tcPr>
          <w:p w14:paraId="51AE8A8E" w14:textId="77777777" w:rsidR="00B87DF5" w:rsidRDefault="007B1330">
            <w:pPr>
              <w:keepNext/>
              <w:spacing w:after="0"/>
            </w:pPr>
            <w:r>
              <w:rPr>
                <w:sz w:val="17"/>
              </w:rPr>
              <w:t>Alert on first post-shift monthly batch</w:t>
            </w:r>
          </w:p>
        </w:tc>
        <w:tc>
          <w:tcPr>
            <w:tcW w:w="3175" w:type="dxa"/>
          </w:tcPr>
          <w:p w14:paraId="300638F0" w14:textId="77777777" w:rsidR="00B87DF5" w:rsidRDefault="007B1330">
            <w:pPr>
              <w:keepNext/>
              <w:spacing w:after="0"/>
            </w:pPr>
            <w:r>
              <w:rPr>
                <w:sz w:val="17"/>
              </w:rPr>
              <w:t>≈ 146 kWh/day of extra error made visible within a month</w:t>
            </w:r>
          </w:p>
        </w:tc>
      </w:tr>
      <w:tr w:rsidR="00B87DF5" w14:paraId="0ACC6879" w14:textId="77777777">
        <w:trPr>
          <w:jc w:val="center"/>
        </w:trPr>
        <w:tc>
          <w:tcPr>
            <w:tcW w:w="2268" w:type="dxa"/>
            <w:shd w:val="clear" w:color="auto" w:fill="EAF1F8"/>
          </w:tcPr>
          <w:p w14:paraId="4B580DC3" w14:textId="77777777" w:rsidR="00B87DF5" w:rsidRDefault="007B1330">
            <w:pPr>
              <w:keepNext/>
              <w:spacing w:after="0"/>
            </w:pPr>
            <w:r>
              <w:rPr>
                <w:sz w:val="17"/>
              </w:rPr>
              <w:t>Bad release</w:t>
            </w:r>
          </w:p>
        </w:tc>
        <w:tc>
          <w:tcPr>
            <w:tcW w:w="2041" w:type="dxa"/>
            <w:shd w:val="clear" w:color="auto" w:fill="EAF1F8"/>
          </w:tcPr>
          <w:p w14:paraId="0C14D86C" w14:textId="77777777" w:rsidR="00B87DF5" w:rsidRDefault="007B1330">
            <w:pPr>
              <w:keepNext/>
              <w:spacing w:after="0"/>
            </w:pPr>
            <w:r>
              <w:rPr>
                <w:sz w:val="17"/>
              </w:rPr>
              <w:t>Manual review</w:t>
            </w:r>
          </w:p>
        </w:tc>
        <w:tc>
          <w:tcPr>
            <w:tcW w:w="2154" w:type="dxa"/>
            <w:shd w:val="clear" w:color="auto" w:fill="EAF1F8"/>
          </w:tcPr>
          <w:p w14:paraId="16BF4DE6" w14:textId="77777777" w:rsidR="00B87DF5" w:rsidRDefault="007B1330">
            <w:pPr>
              <w:keepNext/>
              <w:spacing w:after="0"/>
            </w:pPr>
            <w:r>
              <w:rPr>
                <w:sz w:val="17"/>
              </w:rPr>
              <w:t>Automated gate in CI</w:t>
            </w:r>
          </w:p>
        </w:tc>
        <w:tc>
          <w:tcPr>
            <w:tcW w:w="3175" w:type="dxa"/>
            <w:shd w:val="clear" w:color="auto" w:fill="EAF1F8"/>
          </w:tcPr>
          <w:p w14:paraId="441C3FE7" w14:textId="77777777" w:rsidR="00B87DF5" w:rsidRDefault="007B1330">
            <w:pPr>
              <w:keepNext/>
              <w:spacing w:after="0"/>
            </w:pPr>
            <w:r>
              <w:rPr>
                <w:sz w:val="17"/>
              </w:rPr>
              <w:t>A candidate 2.1× worse than Production never reached it</w:t>
            </w:r>
          </w:p>
        </w:tc>
      </w:tr>
      <w:tr w:rsidR="00B87DF5" w14:paraId="222846A3" w14:textId="77777777">
        <w:trPr>
          <w:jc w:val="center"/>
        </w:trPr>
        <w:tc>
          <w:tcPr>
            <w:tcW w:w="2268" w:type="dxa"/>
          </w:tcPr>
          <w:p w14:paraId="5ED09E7B" w14:textId="77777777" w:rsidR="00B87DF5" w:rsidRDefault="007B1330">
            <w:pPr>
              <w:spacing w:after="0"/>
            </w:pPr>
            <w:r>
              <w:rPr>
                <w:sz w:val="17"/>
              </w:rPr>
              <w:t>Recovery from bad release</w:t>
            </w:r>
          </w:p>
        </w:tc>
        <w:tc>
          <w:tcPr>
            <w:tcW w:w="2041" w:type="dxa"/>
          </w:tcPr>
          <w:p w14:paraId="045CBB31" w14:textId="77777777" w:rsidR="00B87DF5" w:rsidRDefault="007B1330">
            <w:pPr>
              <w:spacing w:after="0"/>
            </w:pPr>
            <w:r>
              <w:rPr>
                <w:sz w:val="17"/>
              </w:rPr>
              <w:t>Retrain and hope</w:t>
            </w:r>
          </w:p>
        </w:tc>
        <w:tc>
          <w:tcPr>
            <w:tcW w:w="2154" w:type="dxa"/>
          </w:tcPr>
          <w:p w14:paraId="7485E67E" w14:textId="77777777" w:rsidR="00B87DF5" w:rsidRDefault="007B1330">
            <w:pPr>
              <w:spacing w:after="0"/>
            </w:pPr>
            <w:r>
              <w:rPr>
                <w:sz w:val="17"/>
              </w:rPr>
              <w:t>Alias + image rollback</w:t>
            </w:r>
          </w:p>
        </w:tc>
        <w:tc>
          <w:tcPr>
            <w:tcW w:w="3175" w:type="dxa"/>
          </w:tcPr>
          <w:p w14:paraId="4FE8699B" w14:textId="77777777" w:rsidR="00B87DF5" w:rsidRDefault="007B1330">
            <w:pPr>
              <w:spacing w:after="0"/>
            </w:pPr>
            <w:r>
              <w:rPr>
                <w:sz w:val="17"/>
              </w:rPr>
              <w:t>Known-good version restored without retraining</w:t>
            </w:r>
          </w:p>
        </w:tc>
      </w:tr>
    </w:tbl>
    <w:p w14:paraId="7E2AA132" w14:textId="77777777" w:rsidR="00B87DF5" w:rsidRDefault="00B87DF5">
      <w:pPr>
        <w:spacing w:after="40"/>
      </w:pPr>
    </w:p>
    <w:p w14:paraId="4476EE07" w14:textId="77777777" w:rsidR="00B87DF5" w:rsidRDefault="007B1330">
      <w:r>
        <w:t>Converting buffered energy into currency needs each site's tariff, demand-charge rate and charger power, which ACN-Data does not provide. I therefore leave the impact in kWh and hours rather than invent a monetary figure. A site manager can multiply the avoided peak headroom (kW) by their own demand-charge rate.</w:t>
      </w:r>
    </w:p>
    <w:p w14:paraId="21966DEB" w14:textId="77777777" w:rsidR="00B87DF5" w:rsidRDefault="007B1330">
      <w:pPr>
        <w:pStyle w:val="Heading2"/>
      </w:pPr>
      <w:r>
        <w:lastRenderedPageBreak/>
        <w:t>5.2 Strategic deductions</w:t>
      </w:r>
    </w:p>
    <w:p w14:paraId="23038F03" w14:textId="77777777" w:rsidR="00B87DF5" w:rsidRDefault="007B1330">
      <w:pPr>
        <w:pStyle w:val="ListBullet"/>
        <w:spacing w:after="40"/>
      </w:pPr>
      <w:r>
        <w:rPr>
          <w:b/>
        </w:rPr>
        <w:t>Monitoring is the higher-value deliverable.</w:t>
      </w:r>
      <w:r>
        <w:t xml:space="preserve"> A model's accuracy decays without warning; a validated detector with no false alarms in eight stable months, plus release gates, protects every future model.</w:t>
      </w:r>
    </w:p>
    <w:p w14:paraId="5A923A3C" w14:textId="77777777" w:rsidR="00B87DF5" w:rsidRDefault="007B1330">
      <w:pPr>
        <w:pStyle w:val="ListBullet"/>
        <w:spacing w:after="40"/>
      </w:pPr>
      <w:r>
        <w:rPr>
          <w:b/>
        </w:rPr>
        <w:t>Declared intent is the main signal.</w:t>
      </w:r>
      <w:r>
        <w:t xml:space="preserve"> Driver requests dominate importance, and H3 shows the declared-vs-delivered gap widening by 3.8 kWh. Product changes to request capture directly affect forecast quality and should be monitored as a dependency.</w:t>
      </w:r>
    </w:p>
    <w:p w14:paraId="36D0E8F6" w14:textId="77777777" w:rsidR="00B87DF5" w:rsidRDefault="007B1330">
      <w:pPr>
        <w:pStyle w:val="ListBullet"/>
        <w:spacing w:after="40"/>
      </w:pPr>
      <w:r>
        <w:rPr>
          <w:b/>
        </w:rPr>
        <w:t>Retraining is not a recovery plan.</w:t>
      </w:r>
      <w:r>
        <w:t xml:space="preserve"> A regime change needs new features or site-aware models, not only fresh data. Budget for model work after a major alert, not just a scheduled retrain.</w:t>
      </w:r>
    </w:p>
    <w:p w14:paraId="0786050E" w14:textId="77777777" w:rsidR="00B87DF5" w:rsidRDefault="007B1330">
      <w:pPr>
        <w:pStyle w:val="ListBullet"/>
        <w:spacing w:after="40"/>
      </w:pPr>
      <w:r>
        <w:rPr>
          <w:b/>
        </w:rPr>
        <w:t>Small sites need separate treatment.</w:t>
      </w:r>
      <w:r>
        <w:t xml:space="preserve"> Site 0019's validation error is 2.2–3.4× the other sites', so scheduling decisions there should use conservative defaults until more data or a site-specific model exists.</w:t>
      </w:r>
    </w:p>
    <w:p w14:paraId="3B7C9BD7" w14:textId="77777777" w:rsidR="00B87DF5" w:rsidRDefault="007B1330">
      <w:pPr>
        <w:pStyle w:val="Heading1"/>
      </w:pPr>
      <w:bookmarkStart w:id="5" w:name="_Toc243413798"/>
      <w:r>
        <w:t>6. Limitations &amp; Future Work</w:t>
      </w:r>
      <w:bookmarkEnd w:id="5"/>
    </w:p>
    <w:p w14:paraId="367351F6" w14:textId="77777777" w:rsidR="00B87DF5" w:rsidRDefault="007B1330">
      <w:pPr>
        <w:pStyle w:val="Heading2"/>
      </w:pPr>
      <w:r>
        <w:t>6.1 Honest constraints</w:t>
      </w:r>
    </w:p>
    <w:p w14:paraId="011C0F75" w14:textId="77777777" w:rsidR="00B87DF5" w:rsidRDefault="007B1330">
      <w:pPr>
        <w:pStyle w:val="ListBullet"/>
        <w:spacing w:after="40"/>
      </w:pPr>
      <w:r>
        <w:rPr>
          <w:b/>
        </w:rPr>
        <w:t>Recovery target not met</w:t>
      </w:r>
      <w:r>
        <w:t xml:space="preserve"> (5.71 vs ≤ 4.84 kWh). The post-shift windows are small (869 and 2,055 rows), and behaviour kept changing through 2021.</w:t>
      </w:r>
    </w:p>
    <w:p w14:paraId="2C899AC0" w14:textId="77777777" w:rsidR="00B87DF5" w:rsidRDefault="007B1330">
      <w:pPr>
        <w:pStyle w:val="ListBullet"/>
        <w:spacing w:after="40"/>
      </w:pPr>
      <w:r>
        <w:rPr>
          <w:b/>
        </w:rPr>
        <w:t>Detector scope.</w:t>
      </w:r>
      <w:r>
        <w:t xml:space="preserve"> One real shift and coarse injected shifts were tested. PSI first alerts at about +30%, and monthly batching delays alerts by up to a month; March 2020 was not flagged.</w:t>
      </w:r>
    </w:p>
    <w:p w14:paraId="360287C7" w14:textId="77777777" w:rsidR="00B87DF5" w:rsidRDefault="007B1330">
      <w:pPr>
        <w:pStyle w:val="ListBullet"/>
        <w:spacing w:after="40"/>
      </w:pPr>
      <w:r>
        <w:rPr>
          <w:b/>
        </w:rPr>
        <w:t>Three Californian workplace and campus sites.</w:t>
      </w:r>
      <w:r>
        <w:t xml:space="preserve"> Results may not transfer to public, residential or depot charging.</w:t>
      </w:r>
    </w:p>
    <w:p w14:paraId="1A1F9BF9" w14:textId="77777777" w:rsidR="00B87DF5" w:rsidRDefault="007B1330">
      <w:pPr>
        <w:pStyle w:val="ListBullet"/>
        <w:spacing w:after="40"/>
      </w:pPr>
      <w:r>
        <w:rPr>
          <w:b/>
        </w:rPr>
        <w:t>Synthetic fixture.</w:t>
      </w:r>
      <w:r>
        <w:t xml:space="preserve"> It reproduces marginals but under-fits dwell time (median 5.08 vs 6.89 h), so sample-path metrics are a demonstration, not evidence.</w:t>
      </w:r>
    </w:p>
    <w:p w14:paraId="49AF63F1" w14:textId="77777777" w:rsidR="00B87DF5" w:rsidRDefault="007B1330">
      <w:pPr>
        <w:pStyle w:val="ListBullet"/>
        <w:spacing w:after="40"/>
      </w:pPr>
      <w:r>
        <w:rPr>
          <w:b/>
        </w:rPr>
        <w:t>Performance not load-tested.</w:t>
      </w:r>
      <w:r>
        <w:t xml:space="preserve"> API latency and throughput were not benchmarked beyond the smoke test.</w:t>
      </w:r>
    </w:p>
    <w:p w14:paraId="6899EF23" w14:textId="77777777" w:rsidR="00B87DF5" w:rsidRDefault="007B1330">
      <w:pPr>
        <w:pStyle w:val="Heading2"/>
      </w:pPr>
      <w:r>
        <w:t>6.2 Ethics and bias</w:t>
      </w:r>
    </w:p>
    <w:p w14:paraId="747802B4" w14:textId="77777777" w:rsidR="00B87DF5" w:rsidRDefault="007B1330">
      <w:pPr>
        <w:pStyle w:val="ListBullet"/>
        <w:spacing w:after="40"/>
      </w:pPr>
      <w:r>
        <w:rPr>
          <w:rFonts w:ascii="Consolas" w:hAnsi="Consolas"/>
          <w:sz w:val="19"/>
        </w:rPr>
        <w:t>userID</w:t>
      </w:r>
      <w:r>
        <w:t xml:space="preserve"> is pseudonymous but, combined with station and time, could reveal individual commuting patterns. The records stay out of the repository, the prediction log stores encoded features only, and a disclosed history finding was remediated.</w:t>
      </w:r>
    </w:p>
    <w:p w14:paraId="3B0CB04C" w14:textId="77777777" w:rsidR="00B87DF5" w:rsidRDefault="007B1330">
      <w:pPr>
        <w:pStyle w:val="ListBullet"/>
        <w:spacing w:after="40"/>
      </w:pPr>
      <w:r>
        <w:t>Per-site error is unequal. Drivers at the smallest site get worse ready-by estimates, so per-site slices should stay a release criterion rather than a report footnote.</w:t>
      </w:r>
    </w:p>
    <w:p w14:paraId="70D425A7" w14:textId="77777777" w:rsidR="00B87DF5" w:rsidRDefault="007B1330">
      <w:pPr>
        <w:pStyle w:val="ListBullet"/>
        <w:spacing w:after="40"/>
      </w:pPr>
      <w:r>
        <w:t>Sessions without driver requests (27%) are predicted less well. Any product that rewards accurate requests should check it does not disadvantage drivers who skip them.</w:t>
      </w:r>
    </w:p>
    <w:p w14:paraId="15B573E7" w14:textId="77777777" w:rsidR="00B87DF5" w:rsidRDefault="007B1330">
      <w:pPr>
        <w:pStyle w:val="Heading2"/>
      </w:pPr>
      <w:r>
        <w:t>6.3 What production would require</w:t>
      </w:r>
    </w:p>
    <w:p w14:paraId="6D2C1EAF" w14:textId="77777777" w:rsidR="00B87DF5" w:rsidRDefault="007B1330">
      <w:pPr>
        <w:pStyle w:val="ListBullet"/>
        <w:spacing w:after="40"/>
      </w:pPr>
      <w:r>
        <w:t>MLflow with a database backend and object storage; images in a registry, referenced by digest.</w:t>
      </w:r>
    </w:p>
    <w:p w14:paraId="50A22180" w14:textId="77777777" w:rsidR="00B87DF5" w:rsidRDefault="007B1330">
      <w:pPr>
        <w:pStyle w:val="ListBullet"/>
        <w:spacing w:after="40"/>
      </w:pPr>
      <w:r>
        <w:t>Authenticated, TLS-terminated ingress; secrets in a vault; network policy instead of loopback binding.</w:t>
      </w:r>
    </w:p>
    <w:p w14:paraId="76EC0423" w14:textId="77777777" w:rsidR="00B87DF5" w:rsidRDefault="007B1330">
      <w:pPr>
        <w:pStyle w:val="ListBullet"/>
        <w:spacing w:after="40"/>
      </w:pPr>
      <w:r>
        <w:t>Alertmanager routing to a staffed on-call rota with a named charging-operations approver for promotions.</w:t>
      </w:r>
    </w:p>
    <w:p w14:paraId="5767AE58" w14:textId="77777777" w:rsidR="00B87DF5" w:rsidRDefault="007B1330">
      <w:pPr>
        <w:pStyle w:val="ListBullet"/>
        <w:spacing w:after="40"/>
      </w:pPr>
      <w:r>
        <w:t>Daily or streaming drift windows with minimum sample sizes, plus a latency SLO and load testing.</w:t>
      </w:r>
    </w:p>
    <w:p w14:paraId="3F985B15" w14:textId="77777777" w:rsidR="00B87DF5" w:rsidRDefault="007B1330">
      <w:pPr>
        <w:pStyle w:val="ListBullet"/>
        <w:spacing w:after="40"/>
      </w:pPr>
      <w:r>
        <w:t>Model work: recency-weighted or site-aware training, an audited rolling-occupancy feature, and prediction intervals for scheduler headroom.</w:t>
      </w:r>
    </w:p>
    <w:p w14:paraId="52EB0ACC" w14:textId="77777777" w:rsidR="00B87DF5" w:rsidRDefault="007B1330">
      <w:pPr>
        <w:pStyle w:val="Heading2"/>
      </w:pPr>
      <w:r>
        <w:t>6.4 Changes from the accepted proposal</w:t>
      </w:r>
    </w:p>
    <w:tbl>
      <w:tblPr>
        <w:tblStyle w:val="TableGrid"/>
        <w:tblW w:w="0" w:type="auto"/>
        <w:jc w:val="center"/>
        <w:tblLook w:val="04A0" w:firstRow="1" w:lastRow="0" w:firstColumn="1" w:lastColumn="0" w:noHBand="0" w:noVBand="1"/>
      </w:tblPr>
      <w:tblGrid>
        <w:gridCol w:w="2608"/>
        <w:gridCol w:w="3175"/>
        <w:gridCol w:w="3855"/>
      </w:tblGrid>
      <w:tr w:rsidR="00B87DF5" w14:paraId="6B442D96" w14:textId="77777777">
        <w:trPr>
          <w:jc w:val="center"/>
        </w:trPr>
        <w:tc>
          <w:tcPr>
            <w:tcW w:w="2608" w:type="dxa"/>
            <w:shd w:val="clear" w:color="auto" w:fill="1F4E79"/>
          </w:tcPr>
          <w:p w14:paraId="1E0A099B" w14:textId="77777777" w:rsidR="00B87DF5" w:rsidRDefault="007B1330">
            <w:pPr>
              <w:keepNext/>
              <w:spacing w:after="0"/>
            </w:pPr>
            <w:r>
              <w:rPr>
                <w:b/>
                <w:color w:val="FFFFFF"/>
                <w:sz w:val="17"/>
              </w:rPr>
              <w:t>Proposal</w:t>
            </w:r>
          </w:p>
        </w:tc>
        <w:tc>
          <w:tcPr>
            <w:tcW w:w="3175" w:type="dxa"/>
            <w:shd w:val="clear" w:color="auto" w:fill="1F4E79"/>
          </w:tcPr>
          <w:p w14:paraId="021F3C74" w14:textId="77777777" w:rsidR="00B87DF5" w:rsidRDefault="007B1330">
            <w:pPr>
              <w:keepNext/>
              <w:spacing w:after="0"/>
            </w:pPr>
            <w:r>
              <w:rPr>
                <w:b/>
                <w:color w:val="FFFFFF"/>
                <w:sz w:val="17"/>
              </w:rPr>
              <w:t>Delivered</w:t>
            </w:r>
          </w:p>
        </w:tc>
        <w:tc>
          <w:tcPr>
            <w:tcW w:w="3855" w:type="dxa"/>
            <w:shd w:val="clear" w:color="auto" w:fill="1F4E79"/>
          </w:tcPr>
          <w:p w14:paraId="035EEA03" w14:textId="77777777" w:rsidR="00B87DF5" w:rsidRDefault="007B1330">
            <w:pPr>
              <w:keepNext/>
              <w:spacing w:after="0"/>
            </w:pPr>
            <w:r>
              <w:rPr>
                <w:b/>
                <w:color w:val="FFFFFF"/>
                <w:sz w:val="17"/>
              </w:rPr>
              <w:t>Reason</w:t>
            </w:r>
          </w:p>
        </w:tc>
      </w:tr>
      <w:tr w:rsidR="00B87DF5" w14:paraId="25513219" w14:textId="77777777">
        <w:trPr>
          <w:jc w:val="center"/>
        </w:trPr>
        <w:tc>
          <w:tcPr>
            <w:tcW w:w="2608" w:type="dxa"/>
          </w:tcPr>
          <w:p w14:paraId="3195C2AD" w14:textId="77777777" w:rsidR="00B87DF5" w:rsidRDefault="007B1330">
            <w:pPr>
              <w:keepNext/>
              <w:spacing w:after="0"/>
            </w:pPr>
            <w:r>
              <w:rPr>
                <w:sz w:val="17"/>
              </w:rPr>
              <w:t>LightGBM</w:t>
            </w:r>
          </w:p>
        </w:tc>
        <w:tc>
          <w:tcPr>
            <w:tcW w:w="3175" w:type="dxa"/>
          </w:tcPr>
          <w:p w14:paraId="595A46D4" w14:textId="77777777" w:rsidR="00B87DF5" w:rsidRDefault="007B1330">
            <w:pPr>
              <w:keepNext/>
              <w:spacing w:after="0"/>
            </w:pPr>
            <w:r>
              <w:rPr>
                <w:sz w:val="17"/>
              </w:rPr>
              <w:t>HistGradientBoosting</w:t>
            </w:r>
          </w:p>
        </w:tc>
        <w:tc>
          <w:tcPr>
            <w:tcW w:w="3855" w:type="dxa"/>
          </w:tcPr>
          <w:p w14:paraId="775C2700" w14:textId="77777777" w:rsidR="00B87DF5" w:rsidRDefault="007B1330">
            <w:pPr>
              <w:keepNext/>
              <w:spacing w:after="0"/>
            </w:pPr>
            <w:r>
              <w:rPr>
                <w:sz w:val="17"/>
              </w:rPr>
              <w:t>Windows OpenMP crash with pyarrow</w:t>
            </w:r>
          </w:p>
        </w:tc>
      </w:tr>
      <w:tr w:rsidR="00B87DF5" w14:paraId="05943661" w14:textId="77777777">
        <w:trPr>
          <w:jc w:val="center"/>
        </w:trPr>
        <w:tc>
          <w:tcPr>
            <w:tcW w:w="2608" w:type="dxa"/>
            <w:shd w:val="clear" w:color="auto" w:fill="EAF1F8"/>
          </w:tcPr>
          <w:p w14:paraId="36FBAFBE" w14:textId="77777777" w:rsidR="00B87DF5" w:rsidRDefault="007B1330">
            <w:pPr>
              <w:keepNext/>
              <w:spacing w:after="0"/>
            </w:pPr>
            <w:r>
              <w:rPr>
                <w:sz w:val="17"/>
              </w:rPr>
              <w:t>Prefect 2</w:t>
            </w:r>
          </w:p>
        </w:tc>
        <w:tc>
          <w:tcPr>
            <w:tcW w:w="3175" w:type="dxa"/>
            <w:shd w:val="clear" w:color="auto" w:fill="EAF1F8"/>
          </w:tcPr>
          <w:p w14:paraId="7091CA83" w14:textId="77777777" w:rsidR="00B87DF5" w:rsidRDefault="007B1330">
            <w:pPr>
              <w:keepNext/>
              <w:spacing w:after="0"/>
            </w:pPr>
            <w:r>
              <w:rPr>
                <w:sz w:val="17"/>
              </w:rPr>
              <w:t>Prefect 3</w:t>
            </w:r>
          </w:p>
        </w:tc>
        <w:tc>
          <w:tcPr>
            <w:tcW w:w="3855" w:type="dxa"/>
            <w:shd w:val="clear" w:color="auto" w:fill="EAF1F8"/>
          </w:tcPr>
          <w:p w14:paraId="2412F02A" w14:textId="77777777" w:rsidR="00B87DF5" w:rsidRDefault="007B1330">
            <w:pPr>
              <w:keepNext/>
              <w:spacing w:after="0"/>
            </w:pPr>
            <w:r>
              <w:rPr>
                <w:sz w:val="17"/>
              </w:rPr>
              <w:t>Current supported major version; same flow model</w:t>
            </w:r>
          </w:p>
        </w:tc>
      </w:tr>
      <w:tr w:rsidR="00B87DF5" w14:paraId="46B1E9D2" w14:textId="77777777">
        <w:trPr>
          <w:jc w:val="center"/>
        </w:trPr>
        <w:tc>
          <w:tcPr>
            <w:tcW w:w="2608" w:type="dxa"/>
          </w:tcPr>
          <w:p w14:paraId="21F6E6C8" w14:textId="77777777" w:rsidR="00B87DF5" w:rsidRDefault="007B1330">
            <w:pPr>
              <w:keepNext/>
              <w:spacing w:after="0"/>
            </w:pPr>
            <w:r>
              <w:rPr>
                <w:sz w:val="17"/>
              </w:rPr>
              <w:t>SDV-generated drift scenarios</w:t>
            </w:r>
          </w:p>
        </w:tc>
        <w:tc>
          <w:tcPr>
            <w:tcW w:w="3175" w:type="dxa"/>
          </w:tcPr>
          <w:p w14:paraId="18003B55" w14:textId="77777777" w:rsidR="00B87DF5" w:rsidRDefault="007B1330">
            <w:pPr>
              <w:keepNext/>
              <w:spacing w:after="0"/>
            </w:pPr>
            <w:r>
              <w:rPr>
                <w:sz w:val="17"/>
              </w:rPr>
              <w:t>Deterministic multiplicative shifts</w:t>
            </w:r>
          </w:p>
        </w:tc>
        <w:tc>
          <w:tcPr>
            <w:tcW w:w="3855" w:type="dxa"/>
          </w:tcPr>
          <w:p w14:paraId="5BF0F9F4" w14:textId="77777777" w:rsidR="00B87DF5" w:rsidRDefault="007B1330">
            <w:pPr>
              <w:keepNext/>
              <w:spacing w:after="0"/>
            </w:pPr>
            <w:r>
              <w:rPr>
                <w:sz w:val="17"/>
              </w:rPr>
              <w:t>Exact, reproducible injected magnitude</w:t>
            </w:r>
          </w:p>
        </w:tc>
      </w:tr>
      <w:tr w:rsidR="00B87DF5" w14:paraId="300A580A" w14:textId="77777777">
        <w:trPr>
          <w:jc w:val="center"/>
        </w:trPr>
        <w:tc>
          <w:tcPr>
            <w:tcW w:w="2608" w:type="dxa"/>
            <w:shd w:val="clear" w:color="auto" w:fill="EAF1F8"/>
          </w:tcPr>
          <w:p w14:paraId="3263F182" w14:textId="77777777" w:rsidR="00B87DF5" w:rsidRDefault="007B1330">
            <w:pPr>
              <w:keepNext/>
              <w:spacing w:after="0"/>
            </w:pPr>
            <w:r>
              <w:rPr>
                <w:sz w:val="17"/>
              </w:rPr>
              <w:t>Rolling site occupancy feature</w:t>
            </w:r>
          </w:p>
        </w:tc>
        <w:tc>
          <w:tcPr>
            <w:tcW w:w="3175" w:type="dxa"/>
            <w:shd w:val="clear" w:color="auto" w:fill="EAF1F8"/>
          </w:tcPr>
          <w:p w14:paraId="3F34E85C" w14:textId="77777777" w:rsidR="00B87DF5" w:rsidRDefault="007B1330">
            <w:pPr>
              <w:keepNext/>
              <w:spacing w:after="0"/>
            </w:pPr>
            <w:r>
              <w:rPr>
                <w:sz w:val="17"/>
              </w:rPr>
              <w:t>Deferred</w:t>
            </w:r>
          </w:p>
        </w:tc>
        <w:tc>
          <w:tcPr>
            <w:tcW w:w="3855" w:type="dxa"/>
            <w:shd w:val="clear" w:color="auto" w:fill="EAF1F8"/>
          </w:tcPr>
          <w:p w14:paraId="6BC2ECFB" w14:textId="77777777" w:rsidR="00B87DF5" w:rsidRDefault="007B1330">
            <w:pPr>
              <w:keepNext/>
              <w:spacing w:after="0"/>
            </w:pPr>
            <w:r>
              <w:rPr>
                <w:sz w:val="17"/>
              </w:rPr>
              <w:t>Point-in-time join not yet parity/leakage audited</w:t>
            </w:r>
          </w:p>
        </w:tc>
      </w:tr>
      <w:tr w:rsidR="00B87DF5" w14:paraId="349B4915" w14:textId="77777777">
        <w:trPr>
          <w:jc w:val="center"/>
        </w:trPr>
        <w:tc>
          <w:tcPr>
            <w:tcW w:w="2608" w:type="dxa"/>
          </w:tcPr>
          <w:p w14:paraId="17E03F0B" w14:textId="77777777" w:rsidR="00B87DF5" w:rsidRDefault="007B1330">
            <w:pPr>
              <w:spacing w:after="0"/>
            </w:pPr>
            <w:r>
              <w:rPr>
                <w:sz w:val="17"/>
              </w:rPr>
              <w:t>Data snapshot submitted to upGrad</w:t>
            </w:r>
          </w:p>
        </w:tc>
        <w:tc>
          <w:tcPr>
            <w:tcW w:w="3175" w:type="dxa"/>
          </w:tcPr>
          <w:p w14:paraId="10DF4072" w14:textId="77777777" w:rsidR="00B87DF5" w:rsidRDefault="007B1330">
            <w:pPr>
              <w:spacing w:after="0"/>
            </w:pPr>
            <w:r>
              <w:rPr>
                <w:sz w:val="17"/>
              </w:rPr>
              <w:t>Data-free repository + manifests + free-token reproduction</w:t>
            </w:r>
          </w:p>
        </w:tc>
        <w:tc>
          <w:tcPr>
            <w:tcW w:w="3855" w:type="dxa"/>
          </w:tcPr>
          <w:p w14:paraId="5FB818C6" w14:textId="77777777" w:rsidR="00B87DF5" w:rsidRDefault="007B1330">
            <w:pPr>
              <w:spacing w:after="0"/>
            </w:pPr>
            <w:r>
              <w:rPr>
                <w:sz w:val="17"/>
              </w:rPr>
              <w:t>Repository-only submission; respects publisher registration</w:t>
            </w:r>
          </w:p>
        </w:tc>
      </w:tr>
    </w:tbl>
    <w:p w14:paraId="444F8CB6" w14:textId="77777777" w:rsidR="00B87DF5" w:rsidRDefault="00B87DF5">
      <w:pPr>
        <w:spacing w:after="40"/>
      </w:pPr>
    </w:p>
    <w:p w14:paraId="3AD5F30A" w14:textId="77777777" w:rsidR="00B87DF5" w:rsidRDefault="007B1330">
      <w:r>
        <w:br w:type="page"/>
      </w:r>
    </w:p>
    <w:p w14:paraId="3CD9A711" w14:textId="77777777" w:rsidR="00B87DF5" w:rsidRDefault="007B1330">
      <w:pPr>
        <w:pStyle w:val="Heading1"/>
      </w:pPr>
      <w:bookmarkStart w:id="6" w:name="_Toc243413799"/>
      <w:r>
        <w:lastRenderedPageBreak/>
        <w:t>Appendix A. Reproduction</w:t>
      </w:r>
      <w:bookmarkEnd w:id="6"/>
    </w:p>
    <w:p w14:paraId="04EB0841" w14:textId="77777777" w:rsidR="00B87DF5" w:rsidRDefault="007B1330">
      <w:r>
        <w:t>Credential-free demo on the synthetic fixture (no token needed):</w:t>
      </w:r>
    </w:p>
    <w:p w14:paraId="47A84742" w14:textId="77777777" w:rsidR="00B87DF5" w:rsidRDefault="007B1330">
      <w:pPr>
        <w:pStyle w:val="ListBullet"/>
        <w:spacing w:after="40"/>
      </w:pPr>
      <w:r>
        <w:rPr>
          <w:rFonts w:ascii="Consolas" w:hAnsi="Consolas"/>
          <w:sz w:val="19"/>
        </w:rPr>
        <w:t>python -m evcharge.pipeline --source sample</w:t>
      </w:r>
    </w:p>
    <w:p w14:paraId="1DC277CF" w14:textId="77777777" w:rsidR="00B87DF5" w:rsidRDefault="007B1330">
      <w:pPr>
        <w:pStyle w:val="ListBullet"/>
        <w:spacing w:after="40"/>
      </w:pPr>
      <w:r>
        <w:rPr>
          <w:rFonts w:ascii="Consolas" w:hAnsi="Consolas"/>
          <w:sz w:val="19"/>
        </w:rPr>
        <w:t>python -m pytest -q</w:t>
      </w:r>
    </w:p>
    <w:p w14:paraId="487B08F4" w14:textId="77777777" w:rsidR="00B87DF5" w:rsidRDefault="007B1330">
      <w:pPr>
        <w:pStyle w:val="ListBullet"/>
        <w:spacing w:after="40"/>
      </w:pPr>
      <w:r>
        <w:rPr>
          <w:rFonts w:ascii="Consolas" w:hAnsi="Consolas"/>
          <w:sz w:val="19"/>
        </w:rPr>
        <w:t>docker compose up --build -d</w:t>
      </w:r>
    </w:p>
    <w:p w14:paraId="331360CB" w14:textId="77777777" w:rsidR="00B87DF5" w:rsidRDefault="007B1330">
      <w:r>
        <w:t xml:space="preserve">Licensed results (requires a free ACN-Data token as </w:t>
      </w:r>
      <w:r>
        <w:rPr>
          <w:rFonts w:ascii="Consolas" w:hAnsi="Consolas"/>
          <w:sz w:val="19"/>
        </w:rPr>
        <w:t>ACN_API_TOKEN</w:t>
      </w:r>
      <w:r>
        <w:t xml:space="preserve"> in </w:t>
      </w:r>
      <w:r>
        <w:rPr>
          <w:rFonts w:ascii="Consolas" w:hAnsi="Consolas"/>
          <w:sz w:val="19"/>
        </w:rPr>
        <w:t>.env</w:t>
      </w:r>
      <w:r>
        <w:t>):</w:t>
      </w:r>
    </w:p>
    <w:p w14:paraId="097511A8" w14:textId="77777777" w:rsidR="00B87DF5" w:rsidRDefault="007B1330">
      <w:pPr>
        <w:pStyle w:val="ListBullet"/>
        <w:spacing w:after="40"/>
      </w:pPr>
      <w:r>
        <w:rPr>
          <w:rFonts w:ascii="Consolas" w:hAnsi="Consolas"/>
          <w:sz w:val="19"/>
        </w:rPr>
        <w:t>python -m evcharge.pipeline --source raw --fetch</w:t>
      </w:r>
      <w:r>
        <w:t xml:space="preserve">, then compare </w:t>
      </w:r>
      <w:r>
        <w:rPr>
          <w:rFonts w:ascii="Consolas" w:hAnsi="Consolas"/>
          <w:sz w:val="19"/>
        </w:rPr>
        <w:t>data_sha256</w:t>
      </w:r>
      <w:r>
        <w:t xml:space="preserve"> and split rows with </w:t>
      </w:r>
      <w:r>
        <w:rPr>
          <w:rFonts w:ascii="Consolas" w:hAnsi="Consolas"/>
          <w:sz w:val="19"/>
        </w:rPr>
        <w:t>benchmarks/licensed_baseline.json</w:t>
      </w:r>
    </w:p>
    <w:p w14:paraId="6B331F90" w14:textId="77777777" w:rsidR="00B87DF5" w:rsidRDefault="007B1330">
      <w:pPr>
        <w:pStyle w:val="ListBullet"/>
        <w:spacing w:after="40"/>
      </w:pPr>
      <w:r>
        <w:rPr>
          <w:rFonts w:ascii="Consolas" w:hAnsi="Consolas"/>
          <w:sz w:val="19"/>
        </w:rPr>
        <w:t>python -m evcharge.validation.reference --source raw</w:t>
      </w:r>
    </w:p>
    <w:p w14:paraId="234EC6BC" w14:textId="77777777" w:rsidR="00B87DF5" w:rsidRDefault="007B1330">
      <w:pPr>
        <w:pStyle w:val="ListBullet"/>
        <w:spacing w:after="40"/>
      </w:pPr>
      <w:r>
        <w:rPr>
          <w:rFonts w:ascii="Consolas" w:hAnsi="Consolas"/>
          <w:sz w:val="19"/>
        </w:rPr>
        <w:t>python scripts/evaluate_drift.py</w:t>
      </w:r>
      <w:r>
        <w:t xml:space="preserve"> and </w:t>
      </w:r>
      <w:r>
        <w:rPr>
          <w:rFonts w:ascii="Consolas" w:hAnsi="Consolas"/>
          <w:sz w:val="19"/>
        </w:rPr>
        <w:t>python scripts/evaluate_retraining_recovery.py</w:t>
      </w:r>
    </w:p>
    <w:p w14:paraId="202AD1AC" w14:textId="77777777" w:rsidR="00B87DF5" w:rsidRDefault="007B1330">
      <w:pPr>
        <w:pStyle w:val="ListBullet"/>
        <w:spacing w:after="40"/>
      </w:pPr>
      <w:r>
        <w:rPr>
          <w:rFonts w:ascii="Consolas" w:hAnsi="Consolas"/>
          <w:sz w:val="19"/>
        </w:rPr>
        <w:t>python scripts/make_report_figures.py</w:t>
      </w:r>
      <w:r>
        <w:t xml:space="preserve"> (regenerates the figures in this report)</w:t>
      </w:r>
    </w:p>
    <w:p w14:paraId="25BA6FE1" w14:textId="77777777" w:rsidR="00B87DF5" w:rsidRDefault="007B1330">
      <w:r>
        <w:t>Repository: https://github.com/deva-prakash-j/ev-charge-mlops</w:t>
      </w:r>
    </w:p>
    <w:p w14:paraId="7C62CDA5" w14:textId="77777777" w:rsidR="00B87DF5" w:rsidRDefault="007B1330">
      <w:pPr>
        <w:pStyle w:val="Heading1"/>
      </w:pPr>
      <w:bookmarkStart w:id="7" w:name="_Toc243413800"/>
      <w:r>
        <w:t>Appendix B. References</w:t>
      </w:r>
      <w:bookmarkEnd w:id="7"/>
    </w:p>
    <w:p w14:paraId="75783B02" w14:textId="77777777" w:rsidR="00B87DF5" w:rsidRDefault="007B1330">
      <w:pPr>
        <w:pStyle w:val="ListBullet"/>
        <w:spacing w:after="40"/>
      </w:pPr>
      <w:r>
        <w:t>Z. J. Lee, T. Li and S. H. Low. “ACN-Data: Analysis and Applications of an Open EV Charging Dataset.” Proc. 10th ACM International Conference on Future Energy Systems (e-Energy '19), 2019. https://ev.caltech.edu/dataset</w:t>
      </w:r>
    </w:p>
    <w:p w14:paraId="207CB689" w14:textId="77777777" w:rsidR="00B87DF5" w:rsidRDefault="007B1330">
      <w:pPr>
        <w:pStyle w:val="ListBullet"/>
        <w:spacing w:after="40"/>
      </w:pPr>
      <w:r>
        <w:t>Project documentation: README.md, STACK.md, DATA_LICENCE.md, docs/architecture.md, docs/drift_hypotheses.md, docs/drift_evaluation.md, docs/operations_governance.md.</w:t>
      </w:r>
    </w:p>
    <w:p w14:paraId="6B737484" w14:textId="77777777" w:rsidR="00B87DF5" w:rsidRDefault="007B1330">
      <w:r>
        <w:br w:type="page"/>
      </w:r>
    </w:p>
    <w:p w14:paraId="4749E87C" w14:textId="77777777" w:rsidR="00B87DF5" w:rsidRDefault="007B1330">
      <w:pPr>
        <w:pStyle w:val="Heading1"/>
      </w:pPr>
      <w:bookmarkStart w:id="8" w:name="_Toc243413801"/>
      <w:r>
        <w:lastRenderedPageBreak/>
        <w:t>Appendix C. Detailed V2 architecture</w:t>
      </w:r>
      <w:bookmarkEnd w:id="8"/>
    </w:p>
    <w:p w14:paraId="7968B2B0" w14:textId="77777777" w:rsidR="00B87DF5" w:rsidRDefault="007B1330">
      <w:pPr>
        <w:keepNext/>
        <w:jc w:val="center"/>
      </w:pPr>
      <w:r>
        <w:rPr>
          <w:noProof/>
        </w:rPr>
        <w:drawing>
          <wp:inline distT="0" distB="0" distL="0" distR="0" wp14:anchorId="7B3A0CAE" wp14:editId="7D0575B4">
            <wp:extent cx="6120000" cy="7738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2.png"/>
                    <pic:cNvPicPr/>
                  </pic:nvPicPr>
                  <pic:blipFill>
                    <a:blip r:embed="rId17"/>
                    <a:stretch>
                      <a:fillRect/>
                    </a:stretch>
                  </pic:blipFill>
                  <pic:spPr>
                    <a:xfrm>
                      <a:off x="0" y="0"/>
                      <a:ext cx="6120000" cy="7738309"/>
                    </a:xfrm>
                    <a:prstGeom prst="rect">
                      <a:avLst/>
                    </a:prstGeom>
                  </pic:spPr>
                </pic:pic>
              </a:graphicData>
            </a:graphic>
          </wp:inline>
        </w:drawing>
      </w:r>
    </w:p>
    <w:p w14:paraId="409BFB61" w14:textId="77777777" w:rsidR="00B87DF5" w:rsidRDefault="007B1330">
      <w:pPr>
        <w:spacing w:after="160"/>
        <w:jc w:val="center"/>
      </w:pPr>
      <w:r>
        <w:rPr>
          <w:i/>
          <w:sz w:val="17"/>
        </w:rPr>
        <w:t>Figure C1. Implemented V2 architecture: ingestion, contract, training, registry, serving, monitoring and retraining (source: docs/architecture.md).</w:t>
      </w:r>
    </w:p>
    <w:sectPr w:rsidR="00B87DF5" w:rsidSect="00034616">
      <w:footerReference w:type="default" r:id="rId1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3FC9" w14:textId="77777777" w:rsidR="007B1330" w:rsidRDefault="007B1330">
      <w:pPr>
        <w:spacing w:after="0" w:line="240" w:lineRule="auto"/>
      </w:pPr>
      <w:r>
        <w:separator/>
      </w:r>
    </w:p>
  </w:endnote>
  <w:endnote w:type="continuationSeparator" w:id="0">
    <w:p w14:paraId="19FA23C6" w14:textId="77777777" w:rsidR="007B1330" w:rsidRDefault="007B1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821A" w14:textId="77777777" w:rsidR="00B87DF5" w:rsidRDefault="007B1330">
    <w:pPr>
      <w:pStyle w:val="Footer"/>
      <w:jc w:val="center"/>
    </w:pPr>
    <w:r>
      <w:rPr>
        <w:color w:val="595959"/>
        <w:sz w:val="16"/>
      </w:rPr>
      <w:t xml:space="preserve">Drift-Aware MLOps for EV Charge-Session Prediction · Deva Prakash J · page </w:t>
    </w:r>
    <w:r>
      <w:rPr>
        <w:color w:val="595959"/>
        <w:sz w:val="16"/>
      </w:rPr>
      <w:fldChar w:fldCharType="begin"/>
    </w:r>
    <w:r>
      <w:rPr>
        <w:color w:val="595959"/>
        <w:sz w:val="16"/>
      </w:rPr>
      <w:instrText>PAGE</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75914" w14:textId="77777777" w:rsidR="007B1330" w:rsidRDefault="007B1330">
      <w:pPr>
        <w:spacing w:after="0" w:line="240" w:lineRule="auto"/>
      </w:pPr>
      <w:r>
        <w:separator/>
      </w:r>
    </w:p>
  </w:footnote>
  <w:footnote w:type="continuationSeparator" w:id="0">
    <w:p w14:paraId="316FFA14" w14:textId="77777777" w:rsidR="007B1330" w:rsidRDefault="007B13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576168">
    <w:abstractNumId w:val="8"/>
  </w:num>
  <w:num w:numId="2" w16cid:durableId="1520045407">
    <w:abstractNumId w:val="6"/>
  </w:num>
  <w:num w:numId="3" w16cid:durableId="98107420">
    <w:abstractNumId w:val="5"/>
  </w:num>
  <w:num w:numId="4" w16cid:durableId="165630016">
    <w:abstractNumId w:val="4"/>
  </w:num>
  <w:num w:numId="5" w16cid:durableId="1934821436">
    <w:abstractNumId w:val="7"/>
  </w:num>
  <w:num w:numId="6" w16cid:durableId="2116049188">
    <w:abstractNumId w:val="3"/>
  </w:num>
  <w:num w:numId="7" w16cid:durableId="1374767510">
    <w:abstractNumId w:val="2"/>
  </w:num>
  <w:num w:numId="8" w16cid:durableId="284820799">
    <w:abstractNumId w:val="1"/>
  </w:num>
  <w:num w:numId="9" w16cid:durableId="73239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A43"/>
    <w:rsid w:val="0015074B"/>
    <w:rsid w:val="0029639D"/>
    <w:rsid w:val="00326F90"/>
    <w:rsid w:val="00574B12"/>
    <w:rsid w:val="007B1330"/>
    <w:rsid w:val="00AA1D8D"/>
    <w:rsid w:val="00B47730"/>
    <w:rsid w:val="00B87DF5"/>
    <w:rsid w:val="00CB0664"/>
    <w:rsid w:val="00E00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1B2D73"/>
  <w14:defaultImageDpi w14:val="300"/>
  <w15:docId w15:val="{0D9B8D92-45B0-43F2-B7C1-E28379E3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05C0"/>
    <w:pPr>
      <w:spacing w:after="100"/>
    </w:pPr>
  </w:style>
  <w:style w:type="character" w:styleId="Hyperlink">
    <w:name w:val="Hyperlink"/>
    <w:basedOn w:val="DefaultParagraphFont"/>
    <w:uiPriority w:val="99"/>
    <w:unhideWhenUsed/>
    <w:rsid w:val="00E005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3639</Words>
  <Characters>21166</Characters>
  <Application>Microsoft Office Word</Application>
  <DocSecurity>0</DocSecurity>
  <Lines>542</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 Prakash</cp:lastModifiedBy>
  <cp:revision>3</cp:revision>
  <cp:lastPrinted>2026-10-20T13:06:00Z</cp:lastPrinted>
  <dcterms:created xsi:type="dcterms:W3CDTF">2013-12-23T23:15:00Z</dcterms:created>
  <dcterms:modified xsi:type="dcterms:W3CDTF">2026-10-20T13:06:00Z</dcterms:modified>
  <cp:category/>
</cp:coreProperties>
</file>