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Name:devaS</w:t>
      </w:r>
    </w:p>
    <w:p w:rsidR="00000000" w:rsidDel="00000000" w:rsidP="00000000" w:rsidRDefault="00000000" w:rsidRPr="00000000" w14:paraId="00000002">
      <w:pPr>
        <w:rPr>
          <w:b w:val="1"/>
        </w:rPr>
      </w:pPr>
      <w:r w:rsidDel="00000000" w:rsidR="00000000" w:rsidRPr="00000000">
        <w:rPr>
          <w:b w:val="1"/>
          <w:rtl w:val="0"/>
        </w:rPr>
        <w:t xml:space="preserve">192210100</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14.Create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Step 1:</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Step 2:</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Step 3:</w:t>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Step 4:</w:t>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Step 5:</w:t>
        <w:br w:type="textWrapping"/>
      </w:r>
      <w:r w:rsidDel="00000000" w:rsidR="00000000" w:rsidRPr="00000000">
        <w:rPr>
          <w:b w:val="1"/>
        </w:rPr>
        <w:drawing>
          <wp:inline distB="114300" distT="114300" distL="114300" distR="114300">
            <wp:extent cx="5943600" cy="33401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Step 6:</w:t>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Step 7:</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Step 8;</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Step 9:</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Step 10:</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