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Manual de apresentação e continuidade do Portal Nutricional</w:t>
      </w:r>
    </w:p>
    <w:p>
      <w:pPr>
        <w:pStyle w:val="Normal"/>
      </w:pPr>
      <w:r>
        <w:t xml:space="preserve">Material preparado por Alan para Robson</w:t>
      </w:r>
    </w:p>
    <w:p>
      <w:pPr>
        <w:pStyle w:val="Normal"/>
      </w:pPr>
      <w:r>
        <w:t xml:space="preserve">Destinatário: CEO e programador responsável pela continuidade</w:t>
      </w:r>
    </w:p>
    <w:p>
      <w:pPr>
        <w:pStyle w:val="Normal"/>
      </w:pPr>
      <w:r>
        <w:t xml:space="preserve">Data: 6 de outubro de 2026</w:t>
      </w:r>
    </w:p>
    <w:p>
      <w:pPr>
        <w:pStyle w:val="Normal"/>
      </w:pPr>
      <w:r>
        <w:t xml:space="preserve">Classificação: uso interno</w:t>
      </w:r>
    </w:p>
    <w:p>
      <w:pPr>
        <w:pStyle w:val="Heading2"/>
      </w:pPr>
      <w:r>
        <w:t xml:space="preserve">Objetivo deste manual</w:t>
      </w:r>
    </w:p>
    <w:p>
      <w:pPr>
        <w:pStyle w:val="Normal"/>
      </w:pPr>
      <w:r>
        <w:t xml:space="preserve">Este material orienta Robson a apresentar o Portal Nutricional ao programador</w:t>
      </w:r>
    </w:p>
    <w:p>
      <w:pPr>
        <w:pStyle w:val="Normal"/>
      </w:pPr>
      <w:r>
        <w:t xml:space="preserve">que dará continuidade ao projeto. Robson apresenta o negócio, a operação, os</w:t>
      </w:r>
    </w:p>
    <w:p>
      <w:pPr>
        <w:pStyle w:val="Normal"/>
      </w:pPr>
      <w:r>
        <w:t xml:space="preserve">usuários e as prioridades. O programador investiga o código e confirma os</w:t>
      </w:r>
    </w:p>
    <w:p>
      <w:pPr>
        <w:pStyle w:val="Normal"/>
      </w:pPr>
      <w:r>
        <w:t xml:space="preserve">detalhes técnicos com os responsáveis. Não se espera que Robson explique</w:t>
      </w:r>
    </w:p>
    <w:p>
      <w:pPr>
        <w:pStyle w:val="Normal"/>
      </w:pPr>
      <w:r>
        <w:t xml:space="preserve">programação.</w:t>
      </w:r>
    </w:p>
    <w:p>
      <w:pPr>
        <w:pStyle w:val="Normal"/>
      </w:pPr>
      <w:r>
        <w:t xml:space="preserve">O manual reúne o contexto já informado por Alan e destaca o que deverá ser</w:t>
      </w:r>
    </w:p>
    <w:p>
      <w:pPr>
        <w:pStyle w:val="Normal"/>
      </w:pPr>
      <w:r>
        <w:t xml:space="preserve">combinado na reunião. Não substitui o repositório, os guias técnicos nem a</w:t>
      </w:r>
    </w:p>
    <w:p>
      <w:pPr>
        <w:pStyle w:val="Normal"/>
      </w:pPr>
      <w:r>
        <w:t xml:space="preserve">validação das regras com os responsáveis do ERP e das operações.</w:t>
      </w:r>
    </w:p>
    <w:p>
      <w:pPr>
        <w:pStyle w:val="Heading2"/>
      </w:pPr>
      <w:r>
        <w:t xml:space="preserve">Apresentação do negócio</w:t>
      </w:r>
    </w:p>
    <w:p>
      <w:pPr>
        <w:pStyle w:val="Normal"/>
      </w:pPr>
      <w:r>
        <w:t xml:space="preserve">O Portal Nutricional complementa o ERP da empresa. O ERP não reúne todas as</w:t>
      </w:r>
    </w:p>
    <w:p>
      <w:pPr>
        <w:pStyle w:val="Normal"/>
      </w:pPr>
      <w:r>
        <w:t xml:space="preserve">informações nem oferece todos os processos necessários à operação; o portal</w:t>
      </w:r>
    </w:p>
    <w:p>
      <w:pPr>
        <w:pStyle w:val="Normal"/>
      </w:pPr>
      <w:r>
        <w:t xml:space="preserve">preenche parte dessas lacunas por meio de informações, relatórios e processos</w:t>
      </w:r>
    </w:p>
    <w:p>
      <w:pPr>
        <w:pStyle w:val="Normal"/>
      </w:pPr>
      <w:r>
        <w:t xml:space="preserve">operacionais adicionais. Por isso, o portal impacta diretamente a operação e</w:t>
      </w:r>
    </w:p>
    <w:p>
      <w:pPr>
        <w:pStyle w:val="Normal"/>
      </w:pPr>
      <w:r>
        <w:t xml:space="preserve">deve ser entendido em conjunto com o ERP.</w:t>
      </w:r>
    </w:p>
    <w:p>
      <w:pPr>
        <w:pStyle w:val="Normal"/>
      </w:pPr>
      <w:r>
        <w:t xml:space="preserve">Ao apresentar o sistema, Robson deve explicar:</w:t>
      </w:r>
    </w:p>
    <w:p>
      <w:pPr>
        <w:pStyle w:val="Normal"/>
      </w:pPr>
      <w:r>
        <w:t xml:space="preserve">• quais atividades da empresa dependem do portal;</w:t>
      </w:r>
    </w:p>
    <w:p>
      <w:pPr>
        <w:pStyle w:val="Normal"/>
      </w:pPr>
      <w:r>
        <w:t xml:space="preserve">• quem usa cada área e para que resultado;</w:t>
      </w:r>
    </w:p>
    <w:p>
      <w:pPr>
        <w:pStyle w:val="Normal"/>
      </w:pPr>
      <w:r>
        <w:t xml:space="preserve">• quais informações ou processos são complementares ao ERP;</w:t>
      </w:r>
    </w:p>
    <w:p>
      <w:pPr>
        <w:pStyle w:val="Normal"/>
      </w:pPr>
      <w:r>
        <w:t xml:space="preserve">• o que é mais urgente preservar, corrigir ou desenvolver.</w:t>
      </w:r>
    </w:p>
    <w:p>
      <w:pPr>
        <w:pStyle w:val="Normal"/>
      </w:pPr>
      <w:r>
        <w:t xml:space="preserve">Alan informou que todos os módulos do portal são utilizados. O programador</w:t>
      </w:r>
    </w:p>
    <w:p>
      <w:pPr>
        <w:pStyle w:val="Normal"/>
      </w:pPr>
      <w:r>
        <w:t xml:space="preserve">deverá confirmar com Robson e com as equipes o uso e a criticidade de cada</w:t>
      </w:r>
    </w:p>
    <w:p>
      <w:pPr>
        <w:pStyle w:val="Normal"/>
      </w:pPr>
      <w:r>
        <w:t xml:space="preserve">módulo; a existência de código, isoladamente, não comprova como uma área é</w:t>
      </w:r>
    </w:p>
    <w:p>
      <w:pPr>
        <w:pStyle w:val="Normal"/>
      </w:pPr>
      <w:r>
        <w:t xml:space="preserve">utilizada atualmente.</w:t>
      </w:r>
    </w:p>
    <w:p>
      <w:pPr>
        <w:pStyle w:val="Heading2"/>
      </w:pPr>
      <w:r>
        <w:t xml:space="preserve">Demonstração prioritária: Logística e Frota</w:t>
      </w:r>
    </w:p>
    <w:p>
      <w:pPr>
        <w:pStyle w:val="Normal"/>
      </w:pPr>
      <w:r>
        <w:t xml:space="preserve">Robson deve priorizar uma demonstração de Logística e Frota, explicando</w:t>
      </w:r>
    </w:p>
    <w:p>
      <w:pPr>
        <w:pStyle w:val="Normal"/>
      </w:pPr>
      <w:r>
        <w:t xml:space="preserve">o objetivo operacional de cada etapa, os usuários envolvidos e o resultado que</w:t>
      </w:r>
    </w:p>
    <w:p>
      <w:pPr>
        <w:pStyle w:val="Normal"/>
      </w:pPr>
      <w:r>
        <w:t xml:space="preserve">a equipe espera.</w:t>
      </w:r>
    </w:p>
    <w:p>
      <w:pPr>
        <w:pStyle w:val="Heading3"/>
      </w:pPr>
      <w:r>
        <w:t xml:space="preserve">Logística</w:t>
      </w:r>
    </w:p>
    <w:p>
      <w:pPr>
        <w:pStyle w:val="Normal"/>
      </w:pPr>
      <w:r>
        <w:t xml:space="preserve">Demonstrar, em ambiente autorizado, um processo representativo de Logística do</w:t>
      </w:r>
    </w:p>
    <w:p>
      <w:pPr>
        <w:pStyle w:val="Normal"/>
      </w:pPr>
      <w:r>
        <w:t xml:space="preserve">início ao resultado final. Explicar:</w:t>
      </w:r>
    </w:p>
    <w:p>
      <w:pPr>
        <w:pStyle w:val="Normal"/>
      </w:pPr>
      <w:r>
        <w:t xml:space="preserve">1. Qual necessidade operacional inicia o processo.</w:t>
      </w:r>
    </w:p>
    <w:p>
      <w:pPr>
        <w:pStyle w:val="Normal"/>
      </w:pPr>
      <w:r>
        <w:t xml:space="preserve">2. Como a equipe consulta ou complementa informações do ERP.</w:t>
      </w:r>
    </w:p>
    <w:p>
      <w:pPr>
        <w:pStyle w:val="Normal"/>
      </w:pPr>
      <w:r>
        <w:t xml:space="preserve">3. Quais etapas são realizadas no portal e por quem.</w:t>
      </w:r>
    </w:p>
    <w:p>
      <w:pPr>
        <w:pStyle w:val="Normal"/>
      </w:pPr>
      <w:r>
        <w:t xml:space="preserve">4. Como a equipe confirma que o processo foi concluído corretamente.</w:t>
      </w:r>
    </w:p>
    <w:p>
      <w:pPr>
        <w:pStyle w:val="Normal"/>
      </w:pPr>
      <w:r>
        <w:t xml:space="preserve">5. Quais situações exigem intervenção ou aprovação de um responsável.</w:t>
      </w:r>
    </w:p>
    <w:p>
      <w:pPr>
        <w:pStyle w:val="Normal"/>
      </w:pPr>
      <w:r>
        <w:t xml:space="preserve">Robson e a equipe de Logística devem escolher antes ou durante a reunião qual</w:t>
      </w:r>
    </w:p>
    <w:p>
      <w:pPr>
        <w:pStyle w:val="Normal"/>
      </w:pPr>
      <w:r>
        <w:t xml:space="preserve">rotina específica será apresentada; este manual não presume um procedimento</w:t>
      </w:r>
    </w:p>
    <w:p>
      <w:pPr>
        <w:pStyle w:val="Normal"/>
      </w:pPr>
      <w:r>
        <w:t xml:space="preserve">único para todas as operações logísticas.</w:t>
      </w:r>
    </w:p>
    <w:p>
      <w:pPr>
        <w:pStyle w:val="Heading3"/>
      </w:pPr>
      <w:r>
        <w:t xml:space="preserve">Frota</w:t>
      </w:r>
    </w:p>
    <w:p>
      <w:pPr>
        <w:pStyle w:val="Normal"/>
      </w:pPr>
      <w:r>
        <w:t xml:space="preserve">Apresentar o fluxo de Frota conforme a operação real, por exemplo embarques,</w:t>
      </w:r>
    </w:p>
    <w:p>
      <w:pPr>
        <w:pStyle w:val="Normal"/>
      </w:pPr>
      <w:r>
        <w:t xml:space="preserve">organização de rotas, atividade do motorista, entregas, sincronização e acerto</w:t>
      </w:r>
    </w:p>
    <w:p>
      <w:pPr>
        <w:pStyle w:val="Normal"/>
      </w:pPr>
      <w:r>
        <w:t xml:space="preserve">administrativo. Escolher somente etapas aplicáveis ao processo atual e</w:t>
      </w:r>
    </w:p>
    <w:p>
      <w:pPr>
        <w:pStyle w:val="Normal"/>
      </w:pPr>
      <w:r>
        <w:t xml:space="preserve">explicar:</w:t>
      </w:r>
    </w:p>
    <w:p>
      <w:pPr>
        <w:pStyle w:val="Normal"/>
      </w:pPr>
      <w:r>
        <w:t xml:space="preserve">1. Como a operação começa e quais informações vêm do ERP.</w:t>
      </w:r>
    </w:p>
    <w:p>
      <w:pPr>
        <w:pStyle w:val="Normal"/>
      </w:pPr>
      <w:r>
        <w:t xml:space="preserve">2. Quem prepara ou acompanha o embarque e a rota.</w:t>
      </w:r>
    </w:p>
    <w:p>
      <w:pPr>
        <w:pStyle w:val="Normal"/>
      </w:pPr>
      <w:r>
        <w:t xml:space="preserve">3. O que o motorista executa no aplicativo, inclusive quando trabalha offline.</w:t>
      </w:r>
    </w:p>
    <w:p>
      <w:pPr>
        <w:pStyle w:val="Normal"/>
      </w:pPr>
      <w:r>
        <w:t xml:space="preserve">4. Como os dados retornam e como a equipe acompanha problemas.</w:t>
      </w:r>
    </w:p>
    <w:p>
      <w:pPr>
        <w:pStyle w:val="Normal"/>
      </w:pPr>
      <w:r>
        <w:t xml:space="preserve">5. Como ocorre o acerto e quais ações precisam de aprovação.</w:t>
      </w:r>
    </w:p>
    <w:p>
      <w:pPr>
        <w:pStyle w:val="Normal"/>
      </w:pPr>
      <w:r>
        <w:t xml:space="preserve">Usar preferencialmente ambiente de homologação, conta de demonstração e dados</w:t>
      </w:r>
    </w:p>
    <w:p>
      <w:pPr>
        <w:pStyle w:val="Normal"/>
      </w:pPr>
      <w:r>
        <w:t xml:space="preserve">fictícios. Não reprocessar pedidos, gerar lançamentos reais, alterar cadastros</w:t>
      </w:r>
    </w:p>
    <w:p>
      <w:pPr>
        <w:pStyle w:val="Normal"/>
      </w:pPr>
      <w:r>
        <w:t xml:space="preserve">de produção ou acionar integrações externas durante a apresentação.</w:t>
      </w:r>
    </w:p>
    <w:p>
      <w:pPr>
        <w:pStyle w:val="Heading2"/>
      </w:pPr>
      <w:r>
        <w:t xml:space="preserve">Prioridades e decisões da reunião</w:t>
      </w:r>
    </w:p>
    <w:p>
      <w:pPr>
        <w:pStyle w:val="Normal"/>
      </w:pPr>
      <w:r>
        <w:t xml:space="preserve">As prioridades dos primeiros 30–90 dias ainda não estão definidas. Alan</w:t>
      </w:r>
    </w:p>
    <w:p>
      <w:pPr>
        <w:pStyle w:val="Normal"/>
      </w:pPr>
      <w:r>
        <w:t xml:space="preserve">informou que o projeto seguirá recebendo desenvolvimento e atualizações; as</w:t>
      </w:r>
    </w:p>
    <w:p>
      <w:pPr>
        <w:pStyle w:val="Normal"/>
      </w:pPr>
      <w:r>
        <w:t xml:space="preserve">prioridades serão decididas por Robson e pelos responsáveis na reunião, após</w:t>
      </w:r>
    </w:p>
    <w:p>
      <w:pPr>
        <w:pStyle w:val="Normal"/>
      </w:pPr>
      <w:r>
        <w:t xml:space="preserve">considerarem as necessidades da operação e o estado atual do projeto.</w:t>
      </w:r>
    </w:p>
    <w:p>
      <w:pPr>
        <w:pStyle w:val="Normal"/>
      </w:pPr>
      <w:r>
        <w:t xml:space="preserve">Na reunião, combinar:</w:t>
      </w:r>
    </w:p>
    <w:p>
      <w:pPr>
        <w:pStyle w:val="Normal"/>
      </w:pPr>
      <w:r>
        <w:t xml:space="preserve">• quais problemas ou melhorias vêm primeiro;</w:t>
      </w:r>
    </w:p>
    <w:p>
      <w:pPr>
        <w:pStyle w:val="Normal"/>
      </w:pPr>
      <w:r>
        <w:t xml:space="preserve">• qual será a primeira entrega pequena e verificável;</w:t>
      </w:r>
    </w:p>
    <w:p>
      <w:pPr>
        <w:pStyle w:val="Normal"/>
      </w:pPr>
      <w:r>
        <w:t xml:space="preserve">• quem valida o resultado e qual é o critério de aceite;</w:t>
      </w:r>
    </w:p>
    <w:p>
      <w:pPr>
        <w:pStyle w:val="Normal"/>
      </w:pPr>
      <w:r>
        <w:t xml:space="preserve">• como novas solicitações serão priorizadas;</w:t>
      </w:r>
    </w:p>
    <w:p>
      <w:pPr>
        <w:pStyle w:val="Normal"/>
      </w:pPr>
      <w:r>
        <w:t xml:space="preserve">• quando as prioridades serão revistas.</w:t>
      </w:r>
    </w:p>
    <w:p>
      <w:pPr>
        <w:pStyle w:val="Normal"/>
      </w:pPr>
      <w:r>
        <w:t xml:space="preserve">Não assumir que toda melhoria desejada pode ser iniciada ao mesmo tempo.</w:t>
      </w:r>
    </w:p>
    <w:p>
      <w:pPr>
        <w:pStyle w:val="Normal"/>
      </w:pPr>
      <w:r>
        <w:t xml:space="preserve">Registrar as decisões e pendências no sistema interno aprovado pela empresa,</w:t>
      </w:r>
    </w:p>
    <w:p>
      <w:pPr>
        <w:pStyle w:val="Normal"/>
      </w:pPr>
      <w:r>
        <w:t xml:space="preserve">sem incluir senhas ou dados pessoais.</w:t>
      </w:r>
    </w:p>
    <w:p>
      <w:pPr>
        <w:pStyle w:val="Heading2"/>
      </w:pPr>
      <w:r>
        <w:t xml:space="preserve">Limites, aprovações e acessos</w:t>
      </w:r>
    </w:p>
    <w:p>
      <w:pPr>
        <w:pStyle w:val="Normal"/>
      </w:pPr>
      <w:r>
        <w:t xml:space="preserve">O programador não terá acesso direto ao Bitwarden. O cofre permanece sob</w:t>
      </w:r>
    </w:p>
    <w:p>
      <w:pPr>
        <w:pStyle w:val="Normal"/>
      </w:pPr>
      <w:r>
        <w:t xml:space="preserve">responsabilidade de seu custodiante. O compartilhamento da conta, da senha</w:t>
      </w:r>
    </w:p>
    <w:p>
      <w:pPr>
        <w:pStyle w:val="Normal"/>
      </w:pPr>
      <w:r>
        <w:t xml:space="preserve">mestra ou dos códigos MFA não faz parte da transição.</w:t>
      </w:r>
    </w:p>
    <w:p>
      <w:pPr>
        <w:pStyle w:val="Normal"/>
      </w:pPr>
      <w:r>
        <w:t xml:space="preserve">O acesso do programador ao repositório e aos demais ambientes/serviços será</w:t>
      </w:r>
    </w:p>
    <w:p>
      <w:pPr>
        <w:pStyle w:val="Normal"/>
      </w:pPr>
      <w:r>
        <w:t xml:space="preserve">combinado na reunião. Não presumir “acesso geral”: definir individualmente o</w:t>
      </w:r>
    </w:p>
    <w:p>
      <w:pPr>
        <w:pStyle w:val="Normal"/>
      </w:pPr>
      <w:r>
        <w:t xml:space="preserve">ambiente, as permissões, a justificativa e quem aprova. Acesso ou ação em</w:t>
      </w:r>
    </w:p>
    <w:p>
      <w:pPr>
        <w:pStyle w:val="Normal"/>
      </w:pPr>
      <w:r>
        <w:t xml:space="preserve">produção deve ser decidido de forma explícita; não decorre automaticamente do</w:t>
      </w:r>
    </w:p>
    <w:p>
      <w:pPr>
        <w:pStyle w:val="Normal"/>
      </w:pPr>
      <w:r>
        <w:t xml:space="preserve">acesso ao código.</w:t>
      </w:r>
    </w:p>
    <w:p>
      <w:pPr>
        <w:pStyle w:val="Normal"/>
      </w:pPr>
      <w:r>
        <w:t xml:space="preserve">Robson e os responsáveis devem decidir quem autoriza:</w:t>
      </w:r>
    </w:p>
    <w:p>
      <w:pPr>
        <w:pStyle w:val="Normal"/>
      </w:pPr>
      <w:r>
        <w:t xml:space="preserve">• leitura ou escrita no banco de desenvolvimento, homologação e produção;</w:t>
      </w:r>
    </w:p>
    <w:p>
      <w:pPr>
        <w:pStyle w:val="Normal"/>
      </w:pPr>
      <w:r>
        <w:t xml:space="preserve">• alterações no ERP, pedidos ou outros sistemas externos;</w:t>
      </w:r>
    </w:p>
    <w:p>
      <w:pPr>
        <w:pStyle w:val="Normal"/>
      </w:pPr>
      <w:r>
        <w:t xml:space="preserve">• publicação e rollback em produção;</w:t>
      </w:r>
    </w:p>
    <w:p>
      <w:pPr>
        <w:pStyle w:val="Normal"/>
      </w:pPr>
      <w:r>
        <w:t xml:space="preserve">• uso de contas de hospedagem, Google Maps, Cobli, e-mail e crons;</w:t>
      </w:r>
    </w:p>
    <w:p>
      <w:pPr>
        <w:pStyle w:val="Normal"/>
      </w:pPr>
      <w:r>
        <w:t xml:space="preserve">• acesso a dados pessoais ou relatórios com dados reais.</w:t>
      </w:r>
    </w:p>
    <w:p>
      <w:pPr>
        <w:pStyle w:val="Normal"/>
      </w:pPr>
      <w:r>
        <w:t xml:space="preserve">Começar com o menor acesso que permita realizar a tarefa. Quando possível,</w:t>
      </w:r>
    </w:p>
    <w:p>
      <w:pPr>
        <w:pStyle w:val="Normal"/>
      </w:pPr>
      <w:r>
        <w:t xml:space="preserve">solicitar contas individuais e credenciais separadas para desenvolvimento e</w:t>
      </w:r>
    </w:p>
    <w:p>
      <w:pPr>
        <w:pStyle w:val="Normal"/>
      </w:pPr>
      <w:r>
        <w:t xml:space="preserve">homologação. O custodiante configura segredos diretamente no ambiente sempre</w:t>
      </w:r>
    </w:p>
    <w:p>
      <w:pPr>
        <w:pStyle w:val="Normal"/>
      </w:pPr>
      <w:r>
        <w:t xml:space="preserve">que isso evitar expô-los. Nunca enviar ao programador o .env de produção ou</w:t>
      </w:r>
    </w:p>
    <w:p>
      <w:pPr>
        <w:pStyle w:val="Normal"/>
      </w:pPr>
      <w:r>
        <w:t xml:space="preserve">uma lista de senhas.</w:t>
      </w:r>
    </w:p>
    <w:p>
      <w:pPr>
        <w:pStyle w:val="Heading2"/>
      </w:pPr>
      <w:r>
        <w:t xml:space="preserve">Responsáveis</w:t>
      </w:r>
    </w:p>
    <w:p>
      <w:pPr>
        <w:pStyle w:val="Normal"/>
      </w:pPr>
      <w:r>
        <w:t xml:space="preserve">Alan e Robson são os contatos iniciais para a transição. A divisão de</w:t>
      </w:r>
    </w:p>
    <w:p>
      <w:pPr>
        <w:pStyle w:val="Normal"/>
      </w:pPr>
      <w:r>
        <w:t xml:space="preserve">responsabilidades — dúvidas de negócio, operação, prioridade, aprovação técnica</w:t>
      </w:r>
    </w:p>
    <w:p>
      <w:pPr>
        <w:pStyle w:val="Normal"/>
      </w:pPr>
      <w:r>
        <w:t xml:space="preserve">e autorização de produção — será confirmada por eles na reunião.</w:t>
      </w:r>
    </w:p>
    <w:p>
      <w:pPr>
        <w:pStyle w:val="Normal"/>
      </w:pPr>
      <w:r>
        <w:t xml:space="preserve">Também devem ser identificados os responsáveis por Logística, Frota, ERP/banco,</w:t>
      </w:r>
    </w:p>
    <w:p>
      <w:pPr>
        <w:pStyle w:val="Normal"/>
      </w:pPr>
      <w:r>
        <w:t xml:space="preserve">hospedagem e cada integração que estiver efetivamente em uso. Se um responsável</w:t>
      </w:r>
    </w:p>
    <w:p>
      <w:pPr>
        <w:pStyle w:val="Normal"/>
      </w:pPr>
      <w:r>
        <w:t xml:space="preserve">não for conhecido, registrar a pendência e indicar quem irá identificá-lo.</w:t>
      </w:r>
    </w:p>
    <w:p>
      <w:pPr>
        <w:pStyle w:val="Heading2"/>
      </w:pPr>
      <w:r>
        <w:t xml:space="preserve">Uso de inteligência artificial</w:t>
      </w:r>
    </w:p>
    <w:p>
      <w:pPr>
        <w:pStyle w:val="Normal"/>
      </w:pPr>
      <w:r>
        <w:t xml:space="preserve">Alan informou que a empresa utiliza DeepSeek e GPT com contas vinculadas ao</w:t>
      </w:r>
    </w:p>
    <w:p>
      <w:pPr>
        <w:pStyle w:val="Normal"/>
      </w:pPr>
      <w:r>
        <w:t xml:space="preserve">e-mail da Nutricional. Isso, por si só, **não confirma que o envio de código ou</w:t>
      </w:r>
    </w:p>
    <w:p>
      <w:pPr>
        <w:pStyle w:val="Normal"/>
      </w:pPr>
      <w:r>
        <w:t xml:space="preserve">documentos internos a esses serviços esteja aprovado**, nem quais configurações</w:t>
      </w:r>
    </w:p>
    <w:p>
      <w:pPr>
        <w:pStyle w:val="Normal"/>
      </w:pPr>
      <w:r>
        <w:t xml:space="preserve">de privacidade, retenção ou treinamento se aplicam à conta.</w:t>
      </w:r>
    </w:p>
    <w:p>
      <w:pPr>
        <w:pStyle w:val="Normal"/>
      </w:pPr>
      <w:r>
        <w:t xml:space="preserve">Antes de enviar qualquer conteúdo do projeto, o programador deverá:</w:t>
      </w:r>
    </w:p>
    <w:p>
      <w:pPr>
        <w:pStyle w:val="Normal"/>
      </w:pPr>
      <w:r>
        <w:t xml:space="preserve">1. Pedir aprovação de Robson para a ferramenta e para o tipo de informação.</w:t>
      </w:r>
    </w:p>
    <w:p>
      <w:pPr>
        <w:pStyle w:val="Normal"/>
      </w:pPr>
      <w:r>
        <w:t xml:space="preserve">2. Confirmar quais recursos e configurações corporativas estão ativos e revisar</w:t>
      </w:r>
    </w:p>
    <w:p>
      <w:pPr>
        <w:pStyle w:val="Normal"/>
      </w:pPr>
      <w:r>
        <w:t xml:space="preserve">   as políticas de tratamento de dados do serviço.</w:t>
      </w:r>
    </w:p>
    <w:p>
      <w:pPr>
        <w:pStyle w:val="Normal"/>
      </w:pPr>
      <w:r>
        <w:t xml:space="preserve">3. Enviar somente os arquivos necessários à tarefa, após revisá-los.</w:t>
      </w:r>
    </w:p>
    <w:p>
      <w:pPr>
        <w:pStyle w:val="Normal"/>
      </w:pPr>
      <w:r>
        <w:t xml:space="preserve">4. Nunca enviar senhas, .env, chaves, tokens, códigos MFA, dumps, dados reais</w:t>
      </w:r>
    </w:p>
    <w:p>
      <w:pPr>
        <w:pStyle w:val="Normal"/>
      </w:pPr>
      <w:r>
        <w:t xml:space="preserve">   de clientes/funcionários, logs ou conteúdo privado de produção.</w:t>
      </w:r>
    </w:p>
    <w:p>
      <w:pPr>
        <w:pStyle w:val="Normal"/>
      </w:pPr>
      <w:r>
        <w:t xml:space="preserve">O guia AI_HANDOFF.md (AI_HANDOFF.md) contém uma lista seletiva de contexto e</w:t>
      </w:r>
    </w:p>
    <w:p>
      <w:pPr>
        <w:pStyle w:val="Normal"/>
      </w:pPr>
      <w:r>
        <w:t xml:space="preserve">uma lista de exclusões. Como ponto de partida, e somente após aprovação:</w:t>
      </w:r>
    </w:p>
    <w:p>
      <w:pPr>
        <w:pStyle w:val="Normal"/>
      </w:pPr>
      <w:r>
        <w:t xml:space="preserve">• README.md</w:t>
      </w:r>
    </w:p>
    <w:p>
      <w:pPr>
        <w:pStyle w:val="Normal"/>
      </w:pPr>
      <w:r>
        <w:t xml:space="preserve">• docs/HANDBOOK.md</w:t>
      </w:r>
    </w:p>
    <w:p>
      <w:pPr>
        <w:pStyle w:val="Normal"/>
      </w:pPr>
      <w:r>
        <w:t xml:space="preserve">• docs/ARCHITECTURE.md</w:t>
      </w:r>
    </w:p>
    <w:p>
      <w:pPr>
        <w:pStyle w:val="Normal"/>
      </w:pPr>
      <w:r>
        <w:t xml:space="preserve">• docs/tokens/CONTINUATION-2026-10-06.md, depois de confirmar que ainda está</w:t>
      </w:r>
    </w:p>
    <w:p>
      <w:pPr>
        <w:pStyle w:val="Normal"/>
      </w:pPr>
      <w:r>
        <w:t xml:space="preserve">  atualizado</w:t>
      </w:r>
    </w:p>
    <w:p>
      <w:pPr>
        <w:pStyle w:val="Normal"/>
      </w:pPr>
      <w:r>
        <w:t xml:space="preserve">• composer.json, se a tarefa envolver dependências</w:t>
      </w:r>
    </w:p>
    <w:p>
      <w:pPr>
        <w:pStyle w:val="Normal"/>
      </w:pPr>
      <w:r>
        <w:t xml:space="preserve">• docs/PORTAL_GUIDE.md, se a tarefa envolver processos do portal</w:t>
      </w:r>
    </w:p>
    <w:p>
      <w:pPr>
        <w:pStyle w:val="Normal"/>
      </w:pPr>
      <w:r>
        <w:t xml:space="preserve">• apenas os arquivos do módulo diretamente relacionado à tarefa</w:t>
      </w:r>
    </w:p>
    <w:p>
      <w:pPr>
        <w:pStyle w:val="Normal"/>
      </w:pPr>
      <w:r>
        <w:t xml:space="preserve">Não enviar o repositório inteiro por conveniência. **Não enviar tokens</w:t>
      </w:r>
    </w:p>
    <w:p>
      <w:pPr>
        <w:pStyle w:val="Normal"/>
      </w:pPr>
      <w:r>
        <w:t xml:space="preserve">históricos** docs/tokens/token-*.md: estão sujeitos a desatualização e ainda</w:t>
      </w:r>
    </w:p>
    <w:p>
      <w:pPr>
        <w:pStyle w:val="Normal"/>
      </w:pPr>
      <w:r>
        <w:t xml:space="preserve">precisam de revisão; duas verificações automáticas sinalizaram possíveis</w:t>
      </w:r>
    </w:p>
    <w:p>
      <w:pPr>
        <w:pStyle w:val="Normal"/>
      </w:pPr>
      <w:r>
        <w:t xml:space="preserve">campos sensíveis, sem confirmar que sejam credenciais reais. Não enviar</w:t>
      </w:r>
    </w:p>
    <w:p>
      <w:pPr>
        <w:pStyle w:val="Normal"/>
      </w:pPr>
      <w:r>
        <w:t xml:space="preserve">.env.example por padrão, pois ele revela nomes de variáveis e integrações.</w:t>
      </w:r>
    </w:p>
    <w:p>
      <w:pPr>
        <w:pStyle w:val="Heading2"/>
      </w:pPr>
      <w:r>
        <w:t xml:space="preserve">Documentos e arquivos técnicos para o programador</w:t>
      </w:r>
    </w:p>
    <w:p>
      <w:pPr>
        <w:pStyle w:val="Normal"/>
      </w:pPr>
      <w:r>
        <w:t xml:space="preserve">Depois de confirmar a branch/release de referência e revisar o estado do Git,</w:t>
      </w:r>
    </w:p>
    <w:p>
      <w:pPr>
        <w:pStyle w:val="Normal"/>
      </w:pPr>
      <w:r>
        <w:t xml:space="preserve">encaminhar o acesso autorizado ao repositório e indicar esta documentação:</w:t>
      </w:r>
    </w:p>
    <w:p>
      <w:pPr>
        <w:pStyle w:val="Normal"/>
      </w:pPr>
      <w:r>
        <w:t xml:space="preserve">1. README.md — visão geral e instruções de entrada.</w:t>
      </w:r>
    </w:p>
    <w:p>
      <w:pPr>
        <w:pStyle w:val="Normal"/>
      </w:pPr>
      <w:r>
        <w:t xml:space="preserve">2. docs/HANDBOOK.md — arquitetura e continuidade.</w:t>
      </w:r>
    </w:p>
    <w:p>
      <w:pPr>
        <w:pStyle w:val="Normal"/>
      </w:pPr>
      <w:r>
        <w:t xml:space="preserve">3. docs/ARCHITECTURE.md — gateways, API, autenticação e fluxos.</w:t>
      </w:r>
    </w:p>
    <w:p>
      <w:pPr>
        <w:pStyle w:val="Normal"/>
      </w:pPr>
      <w:r>
        <w:t xml:space="preserve">4. docs/PORTAL_GUIDE.md — módulos e regras operacionais documentadas.</w:t>
      </w:r>
    </w:p>
    <w:p>
      <w:pPr>
        <w:pStyle w:val="Normal"/>
      </w:pPr>
      <w:r>
        <w:t xml:space="preserve">5. docs/DEPLOY_FTP_CPANEL.md — publicação e cuidados de operação.</w:t>
      </w:r>
    </w:p>
    <w:p>
      <w:pPr>
        <w:pStyle w:val="Normal"/>
      </w:pPr>
      <w:r>
        <w:t xml:space="preserve">6. docs/SECRETS_ACCESS.md — processo de credenciais sem acesso direto ao cofre.</w:t>
      </w:r>
    </w:p>
    <w:p>
      <w:pPr>
        <w:pStyle w:val="Normal"/>
      </w:pPr>
      <w:r>
        <w:t xml:space="preserve">7. docs/tokens/CONTINUATION-2026-10-06.md — resumo atual, a reconfirmar antes</w:t>
      </w:r>
    </w:p>
    <w:p>
      <w:pPr>
        <w:pStyle w:val="Normal"/>
      </w:pPr>
      <w:r>
        <w:t xml:space="preserve">   de uso.</w:t>
      </w:r>
    </w:p>
    <w:p>
      <w:pPr>
        <w:pStyle w:val="Normal"/>
      </w:pPr>
      <w:r>
        <w:t xml:space="preserve">8. docs/AI_HANDOFF.md — política de seleção de arquivos para IA, quando</w:t>
      </w:r>
    </w:p>
    <w:p>
      <w:pPr>
        <w:pStyle w:val="Normal"/>
      </w:pPr>
      <w:r>
        <w:t xml:space="preserve">   aprovada.</w:t>
      </w:r>
    </w:p>
    <w:p>
      <w:pPr>
        <w:pStyle w:val="Normal"/>
      </w:pPr>
      <w:r>
        <w:t xml:space="preserve">9. Código-fonte do módulo da tarefa e dependências diretamente relacionadas.</w:t>
      </w:r>
    </w:p>
    <w:p>
      <w:pPr>
        <w:pStyle w:val="Normal"/>
      </w:pPr>
      <w:r>
        <w:t xml:space="preserve">Os SQL em docs/ são scripts específicos, não um inventário completo do banco</w:t>
      </w:r>
    </w:p>
    <w:p>
      <w:pPr>
        <w:pStyle w:val="Normal"/>
      </w:pPr>
      <w:r>
        <w:t xml:space="preserve">nem uma autorização para executá-los. O schema PostgreSQL é externo; alterações</w:t>
      </w:r>
    </w:p>
    <w:p>
      <w:pPr>
        <w:pStyle w:val="Normal"/>
      </w:pPr>
      <w:r>
        <w:t xml:space="preserve">dependem da revisão, do backup, da homologação e da aprovação do responsável.</w:t>
      </w:r>
    </w:p>
    <w:p>
      <w:pPr>
        <w:pStyle w:val="Heading2"/>
      </w:pPr>
      <w:r>
        <w:t xml:space="preserve">Roteiro sugerido da reunião (60–90 minutos)</w:t>
      </w:r>
    </w:p>
    <w:p>
      <w:pPr>
        <w:pStyle w:val="Normal"/>
      </w:pPr>
      <w:r>
        <w:t xml:space="preserve">1. Contexto (10 min): Robson apresenta a empresa, o papel complementar do</w:t>
      </w:r>
    </w:p>
    <w:p>
      <w:pPr>
        <w:pStyle w:val="Normal"/>
      </w:pPr>
      <w:r>
        <w:t xml:space="preserve">   portal e os processos que não podem falhar.</w:t>
      </w:r>
    </w:p>
    <w:p>
      <w:pPr>
        <w:pStyle w:val="Normal"/>
      </w:pPr>
      <w:r>
        <w:t xml:space="preserve">2. Demonstração (25–35 min): mostrar Logística e Frota em ambiente e dados</w:t>
      </w:r>
    </w:p>
    <w:p>
      <w:pPr>
        <w:pStyle w:val="Normal"/>
      </w:pPr>
      <w:r>
        <w:t xml:space="preserve">   autorizados; explicar objetivo e resultado, sem executar operações reais.</w:t>
      </w:r>
    </w:p>
    <w:p>
      <w:pPr>
        <w:pStyle w:val="Normal"/>
      </w:pPr>
      <w:r>
        <w:t xml:space="preserve">3. Prioridades (10–15 min): escolher a primeira entrega, critério de aceite</w:t>
      </w:r>
    </w:p>
    <w:p>
      <w:pPr>
        <w:pStyle w:val="Normal"/>
      </w:pPr>
      <w:r>
        <w:t xml:space="preserve">   e forma de revisão.</w:t>
      </w:r>
    </w:p>
    <w:p>
      <w:pPr>
        <w:pStyle w:val="Normal"/>
      </w:pPr>
      <w:r>
        <w:t xml:space="preserve">4. Acessos e aprovações (10–15 min): definir repositório, ambientes e donos</w:t>
      </w:r>
    </w:p>
    <w:p>
      <w:pPr>
        <w:pStyle w:val="Normal"/>
      </w:pPr>
      <w:r>
        <w:t xml:space="preserve">   de cada permissão; confirmar que o Bitwarden fica restrito ao custodiante.</w:t>
      </w:r>
    </w:p>
    <w:p>
      <w:pPr>
        <w:pStyle w:val="Normal"/>
      </w:pPr>
      <w:r>
        <w:t xml:space="preserve">5. Plano de continuidade (10–15 min): identificar responsáveis, dúvidas</w:t>
      </w:r>
    </w:p>
    <w:p>
      <w:pPr>
        <w:pStyle w:val="Normal"/>
      </w:pPr>
      <w:r>
        <w:t xml:space="preserve">   abertas, riscos, próximo acompanhamento e ações da primeira semana.</w:t>
      </w:r>
    </w:p>
    <w:p>
      <w:pPr>
        <w:pStyle w:val="Heading2"/>
      </w:pPr>
      <w:r>
        <w:t xml:space="preserve">Resultado esperado</w:t>
      </w:r>
    </w:p>
    <w:p>
      <w:pPr>
        <w:pStyle w:val="Normal"/>
      </w:pPr>
      <w:r>
        <w:t xml:space="preserve">Ao final, o programador deve entender por que o portal complementa o ERP, ter</w:t>
      </w:r>
    </w:p>
    <w:p>
      <w:pPr>
        <w:pStyle w:val="Normal"/>
      </w:pPr>
      <w:r>
        <w:t xml:space="preserve">visto os processos de Logística e Frota, saber quem responde às dúvidas e ter</w:t>
      </w:r>
    </w:p>
    <w:p>
      <w:pPr>
        <w:pStyle w:val="Normal"/>
      </w:pPr>
      <w:r>
        <w:t xml:space="preserve">um primeiro objetivo acordado. As prioridades, os limites de acesso e as</w:t>
      </w:r>
    </w:p>
    <w:p>
      <w:pPr>
        <w:pStyle w:val="Normal"/>
      </w:pPr>
      <w:r>
        <w:t xml:space="preserve">permissões para outros ambientes ficam registrados como decisões de Robson e</w:t>
      </w:r>
    </w:p>
    <w:p>
      <w:pPr>
        <w:pStyle w:val="Normal"/>
      </w:pPr>
      <w:r>
        <w:t xml:space="preserve">dos responsáveis — não presumidos por este manual.</w:t>
      </w:r>
    </w:p>
    <w:p>
      <w:pPr>
        <w:pStyle w:val="Normal"/>
      </w:pPr>
      <w:r>
        <w:t xml:space="preserve">Este documento não contém nem deve receber senhas, chaves, tokens, dados reais</w:t>
      </w:r>
    </w:p>
    <w:p>
      <w:pPr>
        <w:pStyle w:val="Normal"/>
      </w:pPr>
      <w:r>
        <w:t xml:space="preserve">ou conteúdo do Bitwarden. O manual técnico completo permanece no</w:t>
      </w:r>
    </w:p>
    <w:p>
      <w:pPr>
        <w:pStyle w:val="Normal"/>
      </w:pPr>
      <w:r>
        <w:t xml:space="preserve">HANDBOOK.md (HANDBOOK.md); os segredos ficam com o custodiante e cada ambiente</w:t>
      </w:r>
    </w:p>
    <w:p>
      <w:pPr>
        <w:pStyle w:val="Normal"/>
      </w:pPr>
      <w:r>
        <w:t xml:space="preserve">deve receber somente a configuração que lhe pertence.</w:t>
      </w:r>
    </w:p>
    <w:sectPr>
      <w:pgSz w:w="11906" w:h="16838"/>
      <w:pgMar w:top="1077" w:right="1021" w:bottom="1077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247"/>
      </w:rPr>
    </w:rPrDefault>
    <w:pPrDefault>
      <w:pPr>
        <w:spacing w:after="110" w:line="27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80" w:after="120"/>
    </w:pPr>
    <w:rPr>
      <w:b/>
      <w:color w:val="173B70"/>
      <w:sz w:val="34"/>
    </w:rPr>
  </w:style>
  <w:style w:type="paragraph" w:styleId="Heading2">
    <w:name w:val="heading 2"/>
    <w:basedOn w:val="Normal"/>
    <w:pPr>
      <w:keepNext/>
      <w:spacing w:before="260" w:after="110"/>
    </w:pPr>
    <w:rPr>
      <w:b/>
      <w:color w:val="173B70"/>
      <w:sz w:val="27"/>
    </w:rPr>
  </w:style>
  <w:style w:type="paragraph" w:styleId="Heading3">
    <w:name w:val="heading 3"/>
    <w:basedOn w:val="Normal"/>
    <w:pPr>
      <w:keepNext/>
      <w:spacing w:before="200" w:after="90"/>
    </w:pPr>
    <w:rPr>
      <w:b/>
      <w:color w:val="24558E"/>
      <w:sz w:val="23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