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color w:val="000000"/>
          <w:sz w:val="48"/>
        </w:rPr>
        <w:t>Hosting Plan Recommendation</w:t>
      </w:r>
    </w:p>
    <w:p>
      <w:pPr>
        <w:spacing w:after="320"/>
        <w:jc w:val="center"/>
      </w:pPr>
      <w:r>
        <w:rPr>
          <w:b/>
          <w:color w:val="0F766E"/>
          <w:sz w:val="24"/>
        </w:rPr>
        <w:t>Indigo Reconciliation System</w:t>
      </w:r>
    </w:p>
    <w:p>
      <w:pPr>
        <w:spacing w:after="120" w:line="259" w:lineRule="auto"/>
      </w:pPr>
      <w:r>
        <w:rPr>
          <w:b w:val="0"/>
          <w:color w:val="111827"/>
          <w:sz w:val="21"/>
        </w:rPr>
        <w:t>This note explains why the hosting estimate for the reconciliation system should be treated differently from a normal website. The application uploads large Excel workbooks, processes lakhs of rows, stores data in MySQL, and generates reconciliation output files. Because of this workload, server memory and CPU capacity matter directly to stability.</w:t>
      </w:r>
    </w:p>
    <w:p>
      <w:pPr>
        <w:spacing w:after="120" w:line="259" w:lineRule="auto"/>
      </w:pPr>
      <w:r>
        <w:rPr>
          <w:b w:val="0"/>
          <w:color w:val="111827"/>
          <w:sz w:val="21"/>
        </w:rPr>
        <w:t>My recommendation is to use a low cost server only for demo or UAT, then move production to an 8 GB RAM server after testing with actual client files. This keeps the initial commitment reasonable while protecting the production system from slow processing or memory failures.</w:t>
      </w:r>
    </w:p>
    <w:p>
      <w:pPr>
        <w:spacing w:before="280" w:after="120"/>
      </w:pPr>
      <w:r>
        <w:rPr>
          <w:b/>
          <w:color w:val="000000"/>
          <w:sz w:val="30"/>
        </w:rPr>
        <w:t>Summary Recommendation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72"/>
            <w:shd w:fill="0F766E"/>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Use</w:t>
            </w:r>
          </w:p>
        </w:tc>
        <w:tc>
          <w:tcPr>
            <w:tcW w:type="dxa" w:w="2232"/>
            <w:shd w:fill="0F766E"/>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Recommended Plan</w:t>
            </w:r>
          </w:p>
        </w:tc>
        <w:tc>
          <w:tcPr>
            <w:tcW w:type="dxa" w:w="1944"/>
            <w:shd w:fill="0F766E"/>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Estimated Cost</w:t>
            </w:r>
          </w:p>
        </w:tc>
        <w:tc>
          <w:tcPr>
            <w:tcW w:type="dxa" w:w="4392"/>
            <w:shd w:fill="0F766E"/>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Reason</w:t>
            </w:r>
          </w:p>
        </w:tc>
      </w:tr>
      <w:tr>
        <w:tc>
          <w:tcPr>
            <w:tcW w:type="dxa" w:w="187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Demo or UAT</w:t>
            </w:r>
          </w:p>
        </w:tc>
        <w:tc>
          <w:tcPr>
            <w:tcW w:type="dxa" w:w="223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4 GB RAM, 2 vCPU</w:t>
            </w:r>
          </w:p>
        </w:tc>
        <w:tc>
          <w:tcPr>
            <w:tcW w:type="dxa" w:w="1944"/>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$10 to $24 per month</w:t>
            </w:r>
          </w:p>
        </w:tc>
        <w:tc>
          <w:tcPr>
            <w:tcW w:type="dxa" w:w="439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Suitable for proving the application flow with limited users and controlled files.</w:t>
            </w:r>
          </w:p>
        </w:tc>
      </w:tr>
      <w:tr>
        <w:tc>
          <w:tcPr>
            <w:tcW w:type="dxa" w:w="1872"/>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Production Start</w:t>
            </w:r>
          </w:p>
        </w:tc>
        <w:tc>
          <w:tcPr>
            <w:tcW w:type="dxa" w:w="2232"/>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8 GB RAM, 2 to 4 vCPU</w:t>
            </w:r>
          </w:p>
        </w:tc>
        <w:tc>
          <w:tcPr>
            <w:tcW w:type="dxa" w:w="1944"/>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$44 to $48 per month</w:t>
            </w:r>
          </w:p>
        </w:tc>
        <w:tc>
          <w:tcPr>
            <w:tcW w:type="dxa" w:w="4392"/>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Recommended starting point for large Excel processing and MySQL on the same server.</w:t>
            </w:r>
          </w:p>
        </w:tc>
      </w:tr>
      <w:tr>
        <w:tc>
          <w:tcPr>
            <w:tcW w:type="dxa" w:w="187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Heavy Usage</w:t>
            </w:r>
          </w:p>
        </w:tc>
        <w:tc>
          <w:tcPr>
            <w:tcW w:type="dxa" w:w="223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16 GB RAM, 4 plus vCPU</w:t>
            </w:r>
          </w:p>
        </w:tc>
        <w:tc>
          <w:tcPr>
            <w:tcW w:type="dxa" w:w="1944"/>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$84 plus per month</w:t>
            </w:r>
          </w:p>
        </w:tc>
        <w:tc>
          <w:tcPr>
            <w:tcW w:type="dxa" w:w="4392"/>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Better when multiple users process large files regularly or when reports grow further.</w:t>
            </w:r>
          </w:p>
        </w:tc>
      </w:tr>
    </w:tbl>
    <w:p>
      <w:pPr>
        <w:spacing w:after="40"/>
      </w:pPr>
    </w:p>
    <w:p>
      <w:pPr>
        <w:spacing w:before="280" w:after="120"/>
      </w:pPr>
      <w:r>
        <w:rPr>
          <w:b/>
          <w:color w:val="000000"/>
          <w:sz w:val="30"/>
        </w:rPr>
        <w:t>Why The Earlier Estimate Changed</w:t>
      </w:r>
    </w:p>
    <w:p>
      <w:pPr>
        <w:spacing w:after="120" w:line="259" w:lineRule="auto"/>
      </w:pPr>
      <w:r>
        <w:rPr>
          <w:b w:val="0"/>
          <w:color w:val="111827"/>
          <w:sz w:val="21"/>
        </w:rPr>
        <w:t>The initial hosting estimate was based on a standard web application. After reviewing the actual workload, this system is closer to a data processing application. A basic website mostly serves pages, while this system reads large Excel files, transforms rows, runs reconciliation calculations, writes database records, and creates downloadable Excel reports.</w:t>
      </w:r>
    </w:p>
    <w:p>
      <w:pPr>
        <w:pStyle w:val="ListBullet"/>
        <w:spacing w:after="60" w:line="252" w:lineRule="auto"/>
      </w:pPr>
      <w:r>
        <w:rPr>
          <w:b w:val="0"/>
          <w:color w:val="111827"/>
          <w:sz w:val="21"/>
        </w:rPr>
        <w:t>Large Excel files can temporarily use much more memory than their file size.</w:t>
      </w:r>
    </w:p>
    <w:p>
      <w:pPr>
        <w:pStyle w:val="ListBullet"/>
        <w:spacing w:after="60" w:line="252" w:lineRule="auto"/>
      </w:pPr>
      <w:r>
        <w:rPr>
          <w:b w:val="0"/>
          <w:color w:val="111827"/>
          <w:sz w:val="21"/>
        </w:rPr>
        <w:t>Python, pandas, openpyxl, MySQL, and the operating system all share the same server memory.</w:t>
      </w:r>
    </w:p>
    <w:p>
      <w:pPr>
        <w:pStyle w:val="ListBullet"/>
        <w:spacing w:after="60" w:line="252" w:lineRule="auto"/>
      </w:pPr>
      <w:r>
        <w:rPr>
          <w:b w:val="0"/>
          <w:color w:val="111827"/>
          <w:sz w:val="21"/>
        </w:rPr>
        <w:t>A very small server may work for testing but can become slow or fail during production uploads.</w:t>
      </w:r>
    </w:p>
    <w:p>
      <w:pPr>
        <w:pStyle w:val="ListBullet"/>
        <w:spacing w:after="60" w:line="252" w:lineRule="auto"/>
      </w:pPr>
      <w:r>
        <w:rPr>
          <w:b w:val="0"/>
          <w:color w:val="111827"/>
          <w:sz w:val="21"/>
        </w:rPr>
        <w:t>The safest decision is to test with real files first, then select the production size based on actual usage.</w:t>
      </w:r>
    </w:p>
    <w:p>
      <w:pPr>
        <w:spacing w:before="280" w:after="120"/>
      </w:pPr>
      <w:r>
        <w:rPr>
          <w:b/>
          <w:color w:val="000000"/>
          <w:sz w:val="30"/>
        </w:rPr>
        <w:t>Hosting Options</w:t>
      </w:r>
    </w:p>
    <w:tbl>
      <w:tblPr>
        <w:tblW w:type="auto" w:w="0"/>
        <w:tblLook w:firstColumn="1" w:firstRow="1" w:lastColumn="0" w:lastRow="0" w:noHBand="0" w:noVBand="1" w:val="04A0"/>
      </w:tblPr>
      <w:tblGrid>
        <w:gridCol w:w="10166"/>
      </w:tblGrid>
      <w:tr>
        <w:tc>
          <w:tcPr>
            <w:tcW w:type="dxa" w:w="10166"/>
            <w:shd w:fill="FEF3C7"/>
            <w:tcBorders>
              <w:top w:val="single" w:sz="12" w:space="0" w:color="B45309"/>
              <w:left w:val="single" w:sz="12" w:space="0" w:color="B45309"/>
              <w:bottom w:val="single" w:sz="12" w:space="0" w:color="B45309"/>
              <w:right w:val="single" w:sz="12" w:space="0" w:color="B45309"/>
              <w:insideH w:val="single" w:sz="12" w:space="0" w:color="B45309"/>
              <w:insideV w:val="single" w:sz="12" w:space="0" w:color="B45309"/>
            </w:tcBorders>
            <w:tcMar>
              <w:top w:w="140" w:type="dxa"/>
              <w:start w:w="180" w:type="dxa"/>
              <w:bottom w:w="140" w:type="dxa"/>
              <w:end w:w="180" w:type="dxa"/>
            </w:tcMar>
          </w:tcPr>
          <w:p>
            <w:pPr>
              <w:spacing w:after="60"/>
            </w:pPr>
            <w:r>
              <w:rPr>
                <w:b/>
                <w:color w:val="B45309"/>
                <w:sz w:val="23"/>
              </w:rPr>
              <w:t>Option 1  Start with low cost UAT hosting</w:t>
            </w:r>
          </w:p>
          <w:p>
            <w:pPr>
              <w:spacing w:after="0"/>
            </w:pPr>
            <w:r>
              <w:rPr>
                <w:b w:val="0"/>
                <w:color w:val="111827"/>
                <w:sz w:val="20"/>
              </w:rPr>
              <w:t>Use a 4 GB server for demo and user acceptance testing. This is acceptable if the client understands that it is not the final production sizing.</w:t>
            </w:r>
          </w:p>
        </w:tc>
      </w:tr>
    </w:tbl>
    <w:tbl>
      <w:tblPr>
        <w:tblW w:type="auto" w:w="0"/>
        <w:tblLook w:firstColumn="1" w:firstRow="1" w:lastColumn="0" w:lastRow="0" w:noHBand="0" w:noVBand="1" w:val="04A0"/>
      </w:tblPr>
      <w:tblGrid>
        <w:gridCol w:w="10166"/>
      </w:tblGrid>
      <w:tr>
        <w:tc>
          <w:tcPr>
            <w:tcW w:type="dxa" w:w="10166"/>
            <w:shd w:fill="DCFCE7"/>
            <w:tcBorders>
              <w:top w:val="single" w:sz="12" w:space="0" w:color="166534"/>
              <w:left w:val="single" w:sz="12" w:space="0" w:color="166534"/>
              <w:bottom w:val="single" w:sz="12" w:space="0" w:color="166534"/>
              <w:right w:val="single" w:sz="12" w:space="0" w:color="166534"/>
              <w:insideH w:val="single" w:sz="12" w:space="0" w:color="166534"/>
              <w:insideV w:val="single" w:sz="12" w:space="0" w:color="166534"/>
            </w:tcBorders>
            <w:tcMar>
              <w:top w:w="140" w:type="dxa"/>
              <w:start w:w="180" w:type="dxa"/>
              <w:bottom w:w="140" w:type="dxa"/>
              <w:end w:w="180" w:type="dxa"/>
            </w:tcMar>
          </w:tcPr>
          <w:p>
            <w:pPr>
              <w:spacing w:after="60"/>
            </w:pPr>
            <w:r>
              <w:rPr>
                <w:b/>
                <w:color w:val="166534"/>
                <w:sz w:val="23"/>
              </w:rPr>
              <w:t>Option 2  Use production ready hosting from the start</w:t>
            </w:r>
          </w:p>
          <w:p>
            <w:pPr>
              <w:spacing w:after="0"/>
            </w:pPr>
            <w:r>
              <w:rPr>
                <w:b w:val="0"/>
                <w:color w:val="111827"/>
                <w:sz w:val="20"/>
              </w:rPr>
              <w:t>Use an 8 GB server for the first production release. This is the recommended choice for stability with large reconciliation files.</w:t>
            </w:r>
          </w:p>
        </w:tc>
      </w:tr>
    </w:tbl>
    <w:tbl>
      <w:tblPr>
        <w:tblW w:type="auto" w:w="0"/>
        <w:tblLook w:firstColumn="1" w:firstRow="1" w:lastColumn="0" w:lastRow="0" w:noHBand="0" w:noVBand="1" w:val="04A0"/>
      </w:tblPr>
      <w:tblGrid>
        <w:gridCol w:w="10166"/>
      </w:tblGrid>
      <w:tr>
        <w:tc>
          <w:tcPr>
            <w:tcW w:type="dxa" w:w="10166"/>
            <w:shd w:fill="D9EAF7"/>
            <w:tcBorders>
              <w:top w:val="single" w:sz="12" w:space="0" w:color="1F4E79"/>
              <w:left w:val="single" w:sz="12" w:space="0" w:color="1F4E79"/>
              <w:bottom w:val="single" w:sz="12" w:space="0" w:color="1F4E79"/>
              <w:right w:val="single" w:sz="12" w:space="0" w:color="1F4E79"/>
              <w:insideH w:val="single" w:sz="12" w:space="0" w:color="1F4E79"/>
              <w:insideV w:val="single" w:sz="12" w:space="0" w:color="1F4E79"/>
            </w:tcBorders>
            <w:tcMar>
              <w:top w:w="140" w:type="dxa"/>
              <w:start w:w="180" w:type="dxa"/>
              <w:bottom w:w="140" w:type="dxa"/>
              <w:end w:w="180" w:type="dxa"/>
            </w:tcMar>
          </w:tcPr>
          <w:p>
            <w:pPr>
              <w:spacing w:after="60"/>
            </w:pPr>
            <w:r>
              <w:rPr>
                <w:b/>
                <w:color w:val="1F4E79"/>
                <w:sz w:val="23"/>
              </w:rPr>
              <w:t>Option 3  Scale for regular heavy processing</w:t>
            </w:r>
          </w:p>
          <w:p>
            <w:pPr>
              <w:spacing w:after="0"/>
            </w:pPr>
            <w:r>
              <w:rPr>
                <w:b w:val="0"/>
                <w:color w:val="111827"/>
                <w:sz w:val="20"/>
              </w:rPr>
              <w:t>Use a 16 GB server or split the database to a managed MySQL service when multiple users process large files frequently.</w:t>
            </w:r>
          </w:p>
        </w:tc>
      </w:tr>
    </w:tbl>
    <w:p>
      <w:pPr>
        <w:spacing w:before="280" w:after="120"/>
      </w:pPr>
      <w:r>
        <w:rPr>
          <w:b/>
          <w:color w:val="000000"/>
          <w:sz w:val="30"/>
        </w:rPr>
        <w:t>Suggested Message To Client</w:t>
      </w:r>
    </w:p>
    <w:p>
      <w:pPr>
        <w:spacing w:after="120" w:line="259" w:lineRule="auto"/>
      </w:pPr>
      <w:r>
        <w:rPr>
          <w:b w:val="0"/>
          <w:color w:val="111827"/>
          <w:sz w:val="21"/>
        </w:rPr>
        <w:t>Initially I estimated hosting assuming a normal web application. After reviewing the real reconciliation workload, the application needs to process large Excel files with lakhs of rows, store records in MySQL, and generate output reports. A $10 to $15 server can be used for demo or UAT, but it may be slow or unstable for production data. For production, I recommend starting with an 8 GB RAM server, which is expected to cost around $44 to $48 per month. We can first test with actual files on a lower cost server and upgrade only if the real workload requires it.</w:t>
      </w:r>
    </w:p>
    <w:p>
      <w:pPr>
        <w:spacing w:before="280" w:after="120"/>
      </w:pPr>
      <w:r>
        <w:rPr>
          <w:b/>
          <w:color w:val="000000"/>
          <w:sz w:val="30"/>
        </w:rPr>
        <w:t>Final Decision</w:t>
      </w:r>
    </w:p>
    <w:tbl>
      <w:tblPr>
        <w:tblW w:type="auto" w:w="0"/>
        <w:jc w:val="center"/>
        <w:tblLayout w:type="fixed"/>
        <w:tblLook w:firstColumn="1" w:firstRow="1" w:lastColumn="0" w:lastRow="0" w:noHBand="0" w:noVBand="1" w:val="04A0"/>
      </w:tblPr>
      <w:tblGrid>
        <w:gridCol w:w="5083"/>
        <w:gridCol w:w="5083"/>
      </w:tblGrid>
      <w:tr>
        <w:tc>
          <w:tcPr>
            <w:tcW w:type="dxa" w:w="2880"/>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Decision Point</w:t>
            </w:r>
          </w:p>
        </w:tc>
        <w:tc>
          <w:tcPr>
            <w:tcW w:type="dxa" w:w="748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jc w:val="center"/>
            </w:pPr>
            <w:r>
              <w:rPr>
                <w:b/>
                <w:color w:val="FFFFFF"/>
                <w:sz w:val="18"/>
              </w:rPr>
              <w:t>Recommendation</w:t>
            </w:r>
          </w:p>
        </w:tc>
      </w:tr>
      <w:tr>
        <w:tc>
          <w:tcPr>
            <w:tcW w:type="dxa" w:w="2880"/>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Immediate next step</w:t>
            </w:r>
          </w:p>
        </w:tc>
        <w:tc>
          <w:tcPr>
            <w:tcW w:type="dxa" w:w="7488"/>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Run UAT on a low cost server only if the client accepts it as testing infrastructure.</w:t>
            </w:r>
          </w:p>
        </w:tc>
      </w:tr>
      <w:tr>
        <w:tc>
          <w:tcPr>
            <w:tcW w:type="dxa" w:w="2880"/>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Production hosting</w:t>
            </w:r>
          </w:p>
        </w:tc>
        <w:tc>
          <w:tcPr>
            <w:tcW w:type="dxa" w:w="7488"/>
            <w:shd w:fill="F3F4F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Use an 8 GB RAM VPS with Ubuntu, Nginx, FastAPI, Uvicorn, and MySQL.</w:t>
            </w:r>
          </w:p>
        </w:tc>
      </w:tr>
      <w:tr>
        <w:tc>
          <w:tcPr>
            <w:tcW w:type="dxa" w:w="2880"/>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center"/>
            </w:pPr>
            <w:r>
              <w:rPr>
                <w:b w:val="0"/>
                <w:color w:val="111827"/>
                <w:sz w:val="18"/>
              </w:rPr>
              <w:t>Future scaling</w:t>
            </w:r>
          </w:p>
        </w:tc>
        <w:tc>
          <w:tcPr>
            <w:tcW w:type="dxa" w:w="7488"/>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vAlign w:val="center"/>
          </w:tcPr>
          <w:p>
            <w:pPr>
              <w:spacing w:after="0"/>
              <w:jc w:val="left"/>
            </w:pPr>
            <w:r>
              <w:rPr>
                <w:b w:val="0"/>
                <w:color w:val="111827"/>
                <w:sz w:val="18"/>
              </w:rPr>
              <w:t>Move MySQL to a separate or managed database if data volume or users increase.</w:t>
            </w:r>
          </w:p>
        </w:tc>
      </w:tr>
    </w:tbl>
    <w:p>
      <w:pPr>
        <w:spacing w:after="40"/>
      </w:pPr>
    </w:p>
    <w:p>
      <w:pPr>
        <w:spacing w:before="280" w:after="120"/>
      </w:pPr>
      <w:r>
        <w:rPr>
          <w:b/>
          <w:color w:val="000000"/>
          <w:sz w:val="30"/>
        </w:rPr>
        <w:t>Operational Notes</w:t>
      </w:r>
    </w:p>
    <w:p>
      <w:pPr>
        <w:pStyle w:val="ListBullet"/>
        <w:spacing w:after="60" w:line="252" w:lineRule="auto"/>
      </w:pPr>
      <w:r>
        <w:rPr>
          <w:b w:val="0"/>
          <w:color w:val="111827"/>
          <w:sz w:val="21"/>
        </w:rPr>
        <w:t>Keep one application worker initially because upload progress is currently stored in memory.</w:t>
      </w:r>
    </w:p>
    <w:p>
      <w:pPr>
        <w:pStyle w:val="ListBullet"/>
        <w:spacing w:after="60" w:line="252" w:lineRule="auto"/>
      </w:pPr>
      <w:r>
        <w:rPr>
          <w:b w:val="0"/>
          <w:color w:val="111827"/>
          <w:sz w:val="21"/>
        </w:rPr>
        <w:t>Move database credentials to environment variables before production deployment.</w:t>
      </w:r>
    </w:p>
    <w:p>
      <w:pPr>
        <w:pStyle w:val="ListBullet"/>
        <w:spacing w:after="60" w:line="252" w:lineRule="auto"/>
      </w:pPr>
      <w:r>
        <w:rPr>
          <w:b w:val="0"/>
          <w:color w:val="111827"/>
          <w:sz w:val="21"/>
        </w:rPr>
        <w:t>Keep uploaded file backups because reconciliation workbooks are stored on server disk.</w:t>
      </w:r>
    </w:p>
    <w:p>
      <w:pPr>
        <w:pStyle w:val="ListBullet"/>
        <w:spacing w:after="60" w:line="252" w:lineRule="auto"/>
      </w:pPr>
      <w:r>
        <w:rPr>
          <w:b w:val="0"/>
          <w:color w:val="111827"/>
          <w:sz w:val="21"/>
        </w:rPr>
        <w:t>Convert old .xls files to .xlsx or add xlrd support before production use.</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8"/>
      </w:rPr>
      <w:t>Prepared for hosting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