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ABE PTE MVP</w:t>
      </w:r>
    </w:p>
    <w:p>
      <w:pPr>
        <w:pStyle w:val="BodyText"/>
        <w:bidi w:val="0"/>
        <w:spacing w:before="80" w:after="280"/>
        <w:ind w:hanging="0" w:start="0" w:end="0"/>
        <w:jc w:val="start"/>
        <w:rPr>
          <w:color w:val="53657A"/>
          <w:sz w:val="22"/>
        </w:rPr>
      </w:pPr>
      <w:r>
        <w:rPr>
          <w:color w:val="53657A"/>
          <w:sz w:val="22"/>
        </w:rPr>
        <w:t>Proposal-to-Build Scope Review | 17 September 2026</w:t>
      </w:r>
    </w:p>
    <w:tbl>
      <w:tblPr>
        <w:tblW w:w="5000" w:type="pct"/>
        <w:jc w:val="start"/>
        <w:tblInd w:w="0" w:type="dxa"/>
        <w:tblLayout w:type="fixed"/>
        <w:tblCellMar>
          <w:top w:w="120" w:type="dxa"/>
          <w:start w:w="120" w:type="dxa"/>
          <w:bottom w:w="120" w:type="dxa"/>
          <w:end w:w="120" w:type="dxa"/>
        </w:tblCellMar>
      </w:tblPr>
      <w:tblGrid>
        <w:gridCol w:w="15250"/>
      </w:tblGrid>
      <w:tr>
        <w:trPr/>
        <w:tc>
          <w:tcPr>
            <w:tcW w:w="15250" w:type="dxa"/>
            <w:tcBorders/>
            <w:vAlign w:val="center"/>
          </w:tcPr>
          <w:p>
            <w:pPr>
              <w:pStyle w:val="TableContents"/>
              <w:bidi w:val="0"/>
              <w:spacing w:before="80" w:after="160"/>
              <w:jc w:val="start"/>
              <w:rPr/>
            </w:pPr>
            <w:r>
              <w:rPr>
                <w:rStyle w:val="Strong"/>
              </w:rPr>
              <w:t>Review basis:</w:t>
            </w:r>
            <w:r>
              <w:rPr/>
              <w:t xml:space="preserve"> the four-page approved proposal titled </w:t>
            </w:r>
            <w:r>
              <w:rPr>
                <w:rStyle w:val="Emphasis"/>
              </w:rPr>
              <w:t>SLA.ABE pte MVP project</w:t>
            </w:r>
            <w:r>
              <w:rPr/>
              <w:t>, the existing backend and frontend source, implementation history, project documentation, and production evidence supplied during the review. This comparison identifies technical scope differences; it does not by itself establish approval for additional charges.</w:t>
            </w:r>
          </w:p>
        </w:tc>
      </w:tr>
    </w:tbl>
    <w:p>
      <w:pPr>
        <w:pStyle w:val="Heading2"/>
        <w:numPr>
          <w:ilvl w:val="0"/>
          <w:numId w:val="0"/>
        </w:numPr>
        <w:pBdr/>
        <w:bidi w:val="0"/>
        <w:spacing w:before="360" w:after="140"/>
        <w:ind w:start="360" w:end="360"/>
        <w:jc w:val="start"/>
        <w:rPr/>
      </w:pPr>
      <w:r>
        <w:rPr/>
        <w:t>Original proposal coverage</w:t>
      </w:r>
    </w:p>
    <w:p>
      <w:pPr>
        <w:pStyle w:val="BodyText"/>
        <w:bidi w:val="0"/>
        <w:spacing w:before="80" w:after="160"/>
        <w:ind w:start="80" w:end="80"/>
        <w:jc w:val="start"/>
        <w:rPr/>
      </w:pPr>
      <w:r>
        <w:rPr/>
        <w:t>The proposal covers frontend and backend architecture, database design, Whisper speech-to-text, ChatGPT scoring and summarization, the timed test runner, auto-save, specified question engines, mock-test assembly, weighted scoring, result reporting with AI feedback, practice-mode audio controls, QA, model validation, bug fixes, and final tuning.</w:t>
      </w:r>
    </w:p>
    <w:p>
      <w:pPr>
        <w:pStyle w:val="BodyText"/>
        <w:bidi w:val="0"/>
        <w:spacing w:before="80" w:after="160"/>
        <w:ind w:start="80" w:end="80"/>
        <w:jc w:val="start"/>
        <w:rPr/>
      </w:pPr>
      <w:r>
        <w:rPr/>
        <w:t>Work already included or reasonably necessary to deliver those commitments has been excluded from the additional-work table.</w:t>
      </w:r>
    </w:p>
    <w:p>
      <w:pPr>
        <w:pStyle w:val="Heading2"/>
        <w:numPr>
          <w:ilvl w:val="0"/>
          <w:numId w:val="0"/>
        </w:numPr>
        <w:pBdr/>
        <w:bidi w:val="0"/>
        <w:spacing w:before="360" w:after="140"/>
        <w:ind w:start="360" w:end="360"/>
        <w:jc w:val="start"/>
        <w:rPr/>
      </w:pPr>
      <w:r>
        <w:rPr/>
        <w:t>Scope comparison</w:t>
      </w:r>
    </w:p>
    <w:tbl>
      <w:tblPr>
        <w:tblW w:w="5000" w:type="pct"/>
        <w:jc w:val="start"/>
        <w:tblInd w:w="-7" w:type="dxa"/>
        <w:tblLayout w:type="fixed"/>
        <w:tblCellMar>
          <w:top w:w="90" w:type="dxa"/>
          <w:start w:w="90" w:type="dxa"/>
          <w:bottom w:w="90" w:type="dxa"/>
          <w:end w:w="90" w:type="dxa"/>
        </w:tblCellMar>
      </w:tblPr>
      <w:tblGrid>
        <w:gridCol w:w="3557"/>
        <w:gridCol w:w="2545"/>
        <w:gridCol w:w="3934"/>
        <w:gridCol w:w="2857"/>
        <w:gridCol w:w="2357"/>
      </w:tblGrid>
      <w:tr>
        <w:trPr>
          <w:tblHeader w:val="true"/>
        </w:trPr>
        <w:tc>
          <w:tcPr>
            <w:tcW w:w="3557" w:type="dxa"/>
            <w:tcBorders>
              <w:top w:val="single" w:sz="6" w:space="0" w:color="808080"/>
              <w:start w:val="single" w:sz="6" w:space="0" w:color="808080"/>
              <w:bottom w:val="single" w:sz="2" w:space="0" w:color="808080"/>
              <w:end w:val="single" w:sz="6" w:space="0" w:color="808080"/>
            </w:tcBorders>
            <w:shd w:fill="173A63" w:val="clear"/>
            <w:vAlign w:val="center"/>
          </w:tcPr>
          <w:p>
            <w:pPr>
              <w:pStyle w:val="TableHeading"/>
              <w:bidi w:val="0"/>
              <w:spacing w:before="80" w:after="160"/>
              <w:jc w:val="start"/>
              <w:rPr>
                <w:color w:val="FFFFFF"/>
              </w:rPr>
            </w:pPr>
            <w:r>
              <w:rPr>
                <w:color w:val="FFFFFF"/>
              </w:rPr>
              <w:t>Extra Work Completed</w:t>
            </w:r>
          </w:p>
        </w:tc>
        <w:tc>
          <w:tcPr>
            <w:tcW w:w="2545" w:type="dxa"/>
            <w:tcBorders>
              <w:top w:val="single" w:sz="6" w:space="0" w:color="808080"/>
              <w:start w:val="single" w:sz="2" w:space="0" w:color="808080"/>
              <w:bottom w:val="single" w:sz="2" w:space="0" w:color="808080"/>
              <w:end w:val="single" w:sz="6" w:space="0" w:color="808080"/>
            </w:tcBorders>
            <w:shd w:fill="173A63" w:val="clear"/>
            <w:vAlign w:val="center"/>
          </w:tcPr>
          <w:p>
            <w:pPr>
              <w:pStyle w:val="TableHeading"/>
              <w:bidi w:val="0"/>
              <w:spacing w:before="80" w:after="160"/>
              <w:jc w:val="start"/>
              <w:rPr>
                <w:color w:val="FFFFFF"/>
              </w:rPr>
            </w:pPr>
            <w:r>
              <w:rPr>
                <w:color w:val="FFFFFF"/>
              </w:rPr>
              <w:t>Original Proposal Scope</w:t>
            </w:r>
          </w:p>
        </w:tc>
        <w:tc>
          <w:tcPr>
            <w:tcW w:w="3934" w:type="dxa"/>
            <w:tcBorders>
              <w:top w:val="single" w:sz="6" w:space="0" w:color="808080"/>
              <w:start w:val="single" w:sz="2" w:space="0" w:color="808080"/>
              <w:bottom w:val="single" w:sz="2" w:space="0" w:color="808080"/>
              <w:end w:val="single" w:sz="6" w:space="0" w:color="808080"/>
            </w:tcBorders>
            <w:shd w:fill="173A63" w:val="clear"/>
            <w:vAlign w:val="center"/>
          </w:tcPr>
          <w:p>
            <w:pPr>
              <w:pStyle w:val="TableHeading"/>
              <w:bidi w:val="0"/>
              <w:spacing w:before="80" w:after="160"/>
              <w:jc w:val="start"/>
              <w:rPr>
                <w:color w:val="FFFFFF"/>
              </w:rPr>
            </w:pPr>
            <w:r>
              <w:rPr>
                <w:color w:val="FFFFFF"/>
              </w:rPr>
              <w:t>Reason It Is Out of Scope</w:t>
            </w:r>
          </w:p>
        </w:tc>
        <w:tc>
          <w:tcPr>
            <w:tcW w:w="2857" w:type="dxa"/>
            <w:tcBorders>
              <w:top w:val="single" w:sz="6" w:space="0" w:color="808080"/>
              <w:start w:val="single" w:sz="2" w:space="0" w:color="808080"/>
              <w:bottom w:val="single" w:sz="2" w:space="0" w:color="808080"/>
              <w:end w:val="single" w:sz="6" w:space="0" w:color="808080"/>
            </w:tcBorders>
            <w:shd w:fill="173A63" w:val="clear"/>
            <w:vAlign w:val="center"/>
          </w:tcPr>
          <w:p>
            <w:pPr>
              <w:pStyle w:val="TableHeading"/>
              <w:bidi w:val="0"/>
              <w:spacing w:before="80" w:after="160"/>
              <w:jc w:val="start"/>
              <w:rPr>
                <w:color w:val="FFFFFF"/>
              </w:rPr>
            </w:pPr>
            <w:r>
              <w:rPr>
                <w:color w:val="FFFFFF"/>
              </w:rPr>
              <w:t>Evidence/Location</w:t>
            </w:r>
          </w:p>
        </w:tc>
        <w:tc>
          <w:tcPr>
            <w:tcW w:w="2357" w:type="dxa"/>
            <w:tcBorders>
              <w:top w:val="single" w:sz="6" w:space="0" w:color="808080"/>
              <w:start w:val="single" w:sz="2" w:space="0" w:color="808080"/>
              <w:bottom w:val="single" w:sz="2" w:space="0" w:color="808080"/>
              <w:end w:val="single" w:sz="6" w:space="0" w:color="808080"/>
            </w:tcBorders>
            <w:shd w:fill="173A63" w:val="clear"/>
            <w:vAlign w:val="center"/>
          </w:tcPr>
          <w:p>
            <w:pPr>
              <w:pStyle w:val="TableHeading"/>
              <w:bidi w:val="0"/>
              <w:spacing w:before="80" w:after="160"/>
              <w:jc w:val="start"/>
              <w:rPr>
                <w:color w:val="FFFFFF"/>
              </w:rPr>
            </w:pPr>
            <w:r>
              <w:rPr>
                <w:color w:val="FFFFFF"/>
              </w:rPr>
              <w:t>Estimated Effort</w:t>
            </w:r>
          </w:p>
        </w:tc>
      </w:tr>
      <w:tr>
        <w:trPr/>
        <w:tc>
          <w:tcPr>
            <w:tcW w:w="3557" w:type="dxa"/>
            <w:tcBorders>
              <w:start w:val="single" w:sz="6" w:space="0" w:color="808080"/>
              <w:bottom w:val="single" w:sz="2" w:space="0" w:color="808080"/>
              <w:end w:val="single" w:sz="6" w:space="0" w:color="808080"/>
            </w:tcBorders>
            <w:shd w:fill="EAF6ED" w:val="clear"/>
            <w:vAlign w:val="center"/>
          </w:tcPr>
          <w:p>
            <w:pPr>
              <w:pStyle w:val="TableContents"/>
              <w:bidi w:val="0"/>
              <w:spacing w:before="80" w:after="160"/>
              <w:jc w:val="start"/>
              <w:rPr/>
            </w:pPr>
            <w:r>
              <w:rPr/>
              <w:t>CONFIRMED</w:t>
              <w:br/>
            </w:r>
            <w:r>
              <w:rPr>
                <w:rStyle w:val="Strong"/>
              </w:rPr>
              <w:t>Reusable AI answer-explanation authoring and publication workflow.</w:t>
            </w:r>
            <w:r>
              <w:rPr/>
              <w:br/>
              <w:t>Generates educational explanations from Reading answer keys, stores unpublished drafts separately, supports admin review, and publishes approved explanations for reuse.</w:t>
            </w:r>
          </w:p>
        </w:tc>
        <w:tc>
          <w:tcPr>
            <w:tcW w:w="2545" w:type="dxa"/>
            <w:tcBorders>
              <w:start w:val="single" w:sz="2" w:space="0" w:color="808080"/>
              <w:bottom w:val="single" w:sz="2" w:space="0" w:color="808080"/>
              <w:end w:val="single" w:sz="6" w:space="0" w:color="808080"/>
            </w:tcBorders>
            <w:shd w:fill="EAF6ED" w:val="clear"/>
            <w:vAlign w:val="center"/>
          </w:tcPr>
          <w:p>
            <w:pPr>
              <w:pStyle w:val="TableContents"/>
              <w:bidi w:val="0"/>
              <w:spacing w:before="80" w:after="160"/>
              <w:jc w:val="start"/>
              <w:rPr/>
            </w:pPr>
            <w:r>
              <w:rPr/>
              <w:t>ChatGPT scoring and summarization; candidate result breakdown and AI feedback; mock-test assembly.</w:t>
            </w:r>
          </w:p>
        </w:tc>
        <w:tc>
          <w:tcPr>
            <w:tcW w:w="3934" w:type="dxa"/>
            <w:tcBorders>
              <w:start w:val="single" w:sz="2" w:space="0" w:color="808080"/>
              <w:bottom w:val="single" w:sz="2" w:space="0" w:color="808080"/>
              <w:end w:val="single" w:sz="6" w:space="0" w:color="808080"/>
            </w:tcBorders>
            <w:shd w:fill="EAF6ED" w:val="clear"/>
            <w:vAlign w:val="center"/>
          </w:tcPr>
          <w:p>
            <w:pPr>
              <w:pStyle w:val="TableContents"/>
              <w:bidi w:val="0"/>
              <w:spacing w:before="80" w:after="160"/>
              <w:jc w:val="start"/>
              <w:rPr/>
            </w:pPr>
            <w:r>
              <w:rPr/>
              <w:t>The author-facing drafting, storage, review, and publication process creates reusable teaching content independently of a candidate submission. Ordinary answer evaluation and candidate feedback are excluded from this item.</w:t>
            </w:r>
          </w:p>
        </w:tc>
        <w:tc>
          <w:tcPr>
            <w:tcW w:w="2857" w:type="dxa"/>
            <w:tcBorders>
              <w:start w:val="single" w:sz="2" w:space="0" w:color="808080"/>
              <w:bottom w:val="single" w:sz="2" w:space="0" w:color="808080"/>
              <w:end w:val="single" w:sz="6" w:space="0" w:color="808080"/>
            </w:tcBorders>
            <w:shd w:fill="EAF6ED" w:val="clear"/>
            <w:vAlign w:val="center"/>
          </w:tcPr>
          <w:p>
            <w:pPr>
              <w:pStyle w:val="TableContents"/>
              <w:bidi w:val="0"/>
              <w:spacing w:before="80" w:after="160"/>
              <w:ind w:hanging="0" w:start="0" w:end="0"/>
              <w:jc w:val="start"/>
              <w:rPr>
                <w:rFonts w:ascii="Consolas;monospace" w:hAnsi="Consolas;monospace"/>
                <w:color w:val="334963"/>
                <w:sz w:val="15"/>
              </w:rPr>
            </w:pPr>
            <w:r>
              <w:rPr>
                <w:rFonts w:ascii="Consolas;monospace" w:hAnsi="Consolas;monospace"/>
                <w:color w:val="334963"/>
                <w:sz w:val="15"/>
              </w:rPr>
              <w:t>mocktest/management/commands/draft_reading_explanations.py:7</w:t>
              <w:br/>
              <w:t>examinor/services/explanation_drafter.py:65</w:t>
              <w:br/>
              <w:t>mocktest/models.py:290</w:t>
              <w:br/>
              <w:t>mocktest/admin.py:275</w:t>
              <w:br/>
              <w:t>examinor/tests.py:817</w:t>
            </w:r>
          </w:p>
        </w:tc>
        <w:tc>
          <w:tcPr>
            <w:tcW w:w="2357" w:type="dxa"/>
            <w:tcBorders>
              <w:start w:val="single" w:sz="2" w:space="0" w:color="808080"/>
              <w:bottom w:val="single" w:sz="2" w:space="0" w:color="808080"/>
              <w:end w:val="single" w:sz="6" w:space="0" w:color="808080"/>
            </w:tcBorders>
            <w:shd w:fill="EAF6ED" w:val="clear"/>
            <w:vAlign w:val="center"/>
          </w:tcPr>
          <w:p>
            <w:pPr>
              <w:pStyle w:val="TableContents"/>
              <w:bidi w:val="0"/>
              <w:spacing w:before="80" w:after="160"/>
              <w:jc w:val="start"/>
              <w:rPr/>
            </w:pPr>
            <w:r>
              <w:rPr>
                <w:rStyle w:val="Strong"/>
              </w:rPr>
              <w:t>Not identifiable.</w:t>
            </w:r>
            <w:r>
              <w:rPr/>
              <w:br/>
              <w:t>Requires task-level time records. Shared OpenAI integration must be excluded.</w:t>
            </w:r>
          </w:p>
        </w:tc>
      </w:tr>
      <w:tr>
        <w:trPr/>
        <w:tc>
          <w:tcPr>
            <w:tcW w:w="3557" w:type="dxa"/>
            <w:tcBorders>
              <w:start w:val="single" w:sz="6" w:space="0" w:color="808080"/>
              <w:bottom w:val="single" w:sz="2" w:space="0" w:color="808080"/>
              <w:end w:val="single" w:sz="6" w:space="0" w:color="808080"/>
            </w:tcBorders>
            <w:shd w:fill="FFFAF0" w:val="clear"/>
            <w:vAlign w:val="center"/>
          </w:tcPr>
          <w:p>
            <w:pPr>
              <w:pStyle w:val="TableContents"/>
              <w:bidi w:val="0"/>
              <w:spacing w:before="80" w:after="60"/>
              <w:ind w:hanging="0" w:start="0" w:end="0"/>
              <w:jc w:val="start"/>
              <w:rPr/>
            </w:pPr>
            <w:r>
              <w:rPr>
                <w:b/>
                <w:color w:val="8A4B00"/>
              </w:rPr>
              <w:t>REQUIRES CONFIRMATION</w:t>
            </w:r>
            <w:r>
              <w:rPr/>
              <w:br/>
            </w:r>
            <w:r>
              <w:rPr>
                <w:rStyle w:val="Strong"/>
              </w:rPr>
              <w:t>Standalone Write Essay task.</w:t>
            </w:r>
            <w:r>
              <w:rPr/>
              <w:br/>
              <w:t>Essay entry, word-count feedback, rubric evaluation, and results.</w:t>
            </w:r>
          </w:p>
        </w:tc>
        <w:tc>
          <w:tcPr>
            <w:tcW w:w="2545"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Summarization tasks, general ChatGPT scoring, and mock-test assembly.</w:t>
            </w:r>
          </w:p>
        </w:tc>
        <w:tc>
          <w:tcPr>
            <w:tcW w:w="3934"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Essay composition is distinct from summarization and is not named. The approved question-type inventory may nevertheless have included it.</w:t>
            </w:r>
          </w:p>
        </w:tc>
        <w:tc>
          <w:tcPr>
            <w:tcW w:w="28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ind w:hanging="0" w:start="0" w:end="0"/>
              <w:jc w:val="start"/>
              <w:rPr/>
            </w:pPr>
            <w:r>
              <w:rPr>
                <w:rFonts w:ascii="Consolas;monospace" w:hAnsi="Consolas;monospace"/>
                <w:color w:val="334963"/>
                <w:sz w:val="15"/>
              </w:rPr>
              <w:t>frontend/src/components/questions/WriteEssay.jsx:11</w:t>
              <w:br/>
              <w:t>frontend/src/components/ExamShell.jsx:809</w:t>
              <w:br/>
              <w:t>examinor/scoring/task_contracts.py:149</w:t>
            </w:r>
            <w:r>
              <w:rPr/>
              <w:br/>
              <w:t>Production evidence also shows a completed Essay evaluation in QA session 182.</w:t>
            </w:r>
          </w:p>
        </w:tc>
        <w:tc>
          <w:tcPr>
            <w:tcW w:w="23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Not identifiable. Confirm incremental effort beyond the shared text-evaluation engine.</w:t>
            </w:r>
          </w:p>
        </w:tc>
      </w:tr>
      <w:tr>
        <w:trPr/>
        <w:tc>
          <w:tcPr>
            <w:tcW w:w="3557" w:type="dxa"/>
            <w:tcBorders>
              <w:start w:val="single" w:sz="6" w:space="0" w:color="808080"/>
              <w:bottom w:val="single" w:sz="2" w:space="0" w:color="808080"/>
              <w:end w:val="single" w:sz="6" w:space="0" w:color="808080"/>
            </w:tcBorders>
            <w:shd w:fill="FFFAF0" w:val="clear"/>
            <w:vAlign w:val="center"/>
          </w:tcPr>
          <w:p>
            <w:pPr>
              <w:pStyle w:val="TableContents"/>
              <w:bidi w:val="0"/>
              <w:spacing w:before="80" w:after="60"/>
              <w:ind w:hanging="0" w:start="0" w:end="0"/>
              <w:jc w:val="start"/>
              <w:rPr/>
            </w:pPr>
            <w:r>
              <w:rPr>
                <w:b/>
                <w:color w:val="8A4B00"/>
              </w:rPr>
              <w:t>REQUIRES CONFIRMATION</w:t>
            </w:r>
            <w:r>
              <w:rPr/>
              <w:br/>
            </w:r>
            <w:r>
              <w:rPr>
                <w:rStyle w:val="Strong"/>
              </w:rPr>
              <w:t>Highlight Incorrect Words task.</w:t>
            </w:r>
            <w:r>
              <w:rPr/>
              <w:br/>
              <w:t>Selectable passage words, positional submissions, transcript comparison, and scoring.</w:t>
            </w:r>
          </w:p>
        </w:tc>
        <w:tc>
          <w:tcPr>
            <w:tcW w:w="2545"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Speech comparison and the specifically named question types.</w:t>
            </w:r>
          </w:p>
        </w:tc>
        <w:tc>
          <w:tcPr>
            <w:tcW w:w="3934"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This is a distinct candidate interaction that is not named, but it may fall within the agreed PTE task coverage or speech-comparison requirement. Later defect corrections are excluded.</w:t>
            </w:r>
          </w:p>
        </w:tc>
        <w:tc>
          <w:tcPr>
            <w:tcW w:w="28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ind w:hanging="0" w:start="0" w:end="0"/>
              <w:jc w:val="start"/>
              <w:rPr>
                <w:rFonts w:ascii="Consolas;monospace" w:hAnsi="Consolas;monospace"/>
                <w:color w:val="334963"/>
                <w:sz w:val="15"/>
              </w:rPr>
            </w:pPr>
            <w:r>
              <w:rPr>
                <w:rFonts w:ascii="Consolas;monospace" w:hAnsi="Consolas;monospace"/>
                <w:color w:val="334963"/>
                <w:sz w:val="15"/>
              </w:rPr>
              <w:t>frontend/src/components/questions/AudioHighlightBox.jsx:66</w:t>
              <w:br/>
              <w:t>frontend/src/components/ExamShell.jsx:925</w:t>
              <w:br/>
              <w:t>examinor/services/highlight_incorrect_words.py:94</w:t>
            </w:r>
          </w:p>
        </w:tc>
        <w:tc>
          <w:tcPr>
            <w:tcW w:w="23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Not identifiable. Separate original task implementation from subsequent repairs.</w:t>
            </w:r>
          </w:p>
        </w:tc>
      </w:tr>
      <w:tr>
        <w:trPr/>
        <w:tc>
          <w:tcPr>
            <w:tcW w:w="3557" w:type="dxa"/>
            <w:tcBorders>
              <w:start w:val="single" w:sz="6" w:space="0" w:color="808080"/>
              <w:bottom w:val="single" w:sz="2" w:space="0" w:color="808080"/>
              <w:end w:val="single" w:sz="6" w:space="0" w:color="808080"/>
            </w:tcBorders>
            <w:shd w:fill="FFFAF0" w:val="clear"/>
            <w:vAlign w:val="center"/>
          </w:tcPr>
          <w:p>
            <w:pPr>
              <w:pStyle w:val="TableContents"/>
              <w:bidi w:val="0"/>
              <w:spacing w:before="80" w:after="60"/>
              <w:ind w:hanging="0" w:start="0" w:end="0"/>
              <w:jc w:val="start"/>
              <w:rPr/>
            </w:pPr>
            <w:r>
              <w:rPr>
                <w:b/>
                <w:color w:val="8A4B00"/>
              </w:rPr>
              <w:t>REQUIRES CONFIRMATION</w:t>
            </w:r>
            <w:r>
              <w:rPr/>
              <w:br/>
            </w:r>
            <w:r>
              <w:rPr>
                <w:rStyle w:val="Strong"/>
              </w:rPr>
              <w:t>Reading dropdown fill-in-the-blanks variant.</w:t>
            </w:r>
          </w:p>
        </w:tc>
        <w:tc>
          <w:tcPr>
            <w:tcW w:w="2545"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Drag-and-drop fill-in-the-blanks.</w:t>
            </w:r>
          </w:p>
        </w:tc>
        <w:tc>
          <w:tcPr>
            <w:tcW w:w="3934"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Dropdown selection is an additional interaction variant, although it may reasonably have been included under the blanks engine.</w:t>
            </w:r>
          </w:p>
        </w:tc>
        <w:tc>
          <w:tcPr>
            <w:tcW w:w="28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ind w:hanging="0" w:start="0" w:end="0"/>
              <w:jc w:val="start"/>
              <w:rPr>
                <w:rFonts w:ascii="Consolas;monospace" w:hAnsi="Consolas;monospace"/>
                <w:color w:val="334963"/>
                <w:sz w:val="15"/>
              </w:rPr>
            </w:pPr>
            <w:r>
              <w:rPr>
                <w:rFonts w:ascii="Consolas;monospace" w:hAnsi="Consolas;monospace"/>
                <w:color w:val="334963"/>
                <w:sz w:val="15"/>
              </w:rPr>
              <w:t>frontend/src/components/questions/FillBlanksDropdown.jsx</w:t>
              <w:br/>
              <w:t>frontend/src/components/ExamShell.jsx:834</w:t>
              <w:br/>
              <w:t>examinor/services/rule_evaluator.py:354</w:t>
            </w:r>
          </w:p>
        </w:tc>
        <w:tc>
          <w:tcPr>
            <w:tcW w:w="23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Not identifiable. Exclude shared blanks-engine work.</w:t>
            </w:r>
          </w:p>
        </w:tc>
      </w:tr>
      <w:tr>
        <w:trPr/>
        <w:tc>
          <w:tcPr>
            <w:tcW w:w="3557" w:type="dxa"/>
            <w:tcBorders>
              <w:start w:val="single" w:sz="6" w:space="0" w:color="808080"/>
              <w:bottom w:val="single" w:sz="2" w:space="0" w:color="808080"/>
              <w:end w:val="single" w:sz="6" w:space="0" w:color="808080"/>
            </w:tcBorders>
            <w:shd w:fill="FFFAF0" w:val="clear"/>
            <w:vAlign w:val="center"/>
          </w:tcPr>
          <w:p>
            <w:pPr>
              <w:pStyle w:val="TableContents"/>
              <w:bidi w:val="0"/>
              <w:spacing w:before="80" w:after="60"/>
              <w:ind w:hanging="0" w:start="0" w:end="0"/>
              <w:jc w:val="start"/>
              <w:rPr/>
            </w:pPr>
            <w:r>
              <w:rPr>
                <w:b/>
                <w:color w:val="8A4B00"/>
              </w:rPr>
              <w:t>REQUIRES CONFIRMATION</w:t>
            </w:r>
            <w:r>
              <w:rPr/>
              <w:br/>
            </w:r>
            <w:r>
              <w:rPr>
                <w:rStyle w:val="Strong"/>
              </w:rPr>
              <w:t>Listening typed fill-in-the-blanks variant.</w:t>
            </w:r>
          </w:p>
        </w:tc>
        <w:tc>
          <w:tcPr>
            <w:tcW w:w="2545"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Drag-and-drop blanks, audio tasks, and dictation.</w:t>
            </w:r>
          </w:p>
        </w:tc>
        <w:tc>
          <w:tcPr>
            <w:tcW w:w="3934"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Audio playback with typed gap answers is not separately named, but it overlaps two included task families.</w:t>
            </w:r>
          </w:p>
        </w:tc>
        <w:tc>
          <w:tcPr>
            <w:tcW w:w="28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ind w:hanging="0" w:start="0" w:end="0"/>
              <w:jc w:val="start"/>
              <w:rPr>
                <w:rFonts w:ascii="Consolas;monospace" w:hAnsi="Consolas;monospace"/>
                <w:color w:val="334963"/>
                <w:sz w:val="15"/>
              </w:rPr>
            </w:pPr>
            <w:r>
              <w:rPr>
                <w:rFonts w:ascii="Consolas;monospace" w:hAnsi="Consolas;monospace"/>
                <w:color w:val="334963"/>
                <w:sz w:val="15"/>
              </w:rPr>
              <w:t>frontend/src/components/questions/FillBlanksTyped.jsx</w:t>
              <w:br/>
              <w:t>frontend/src/components/ExamShell.jsx:913</w:t>
              <w:br/>
              <w:t>examinor/services/rule_evaluator.py:475</w:t>
            </w:r>
          </w:p>
        </w:tc>
        <w:tc>
          <w:tcPr>
            <w:tcW w:w="23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Not identifiable. Separate task-specific UI from shared audio/text scoring.</w:t>
            </w:r>
          </w:p>
        </w:tc>
      </w:tr>
      <w:tr>
        <w:trPr/>
        <w:tc>
          <w:tcPr>
            <w:tcW w:w="3557" w:type="dxa"/>
            <w:tcBorders>
              <w:start w:val="single" w:sz="6" w:space="0" w:color="808080"/>
              <w:bottom w:val="single" w:sz="2" w:space="0" w:color="808080"/>
              <w:end w:val="single" w:sz="6" w:space="0" w:color="808080"/>
            </w:tcBorders>
            <w:shd w:fill="FFFAF0" w:val="clear"/>
            <w:vAlign w:val="center"/>
          </w:tcPr>
          <w:p>
            <w:pPr>
              <w:pStyle w:val="TableContents"/>
              <w:bidi w:val="0"/>
              <w:spacing w:before="80" w:after="60"/>
              <w:ind w:hanging="0" w:start="0" w:end="0"/>
              <w:jc w:val="start"/>
              <w:rPr/>
            </w:pPr>
            <w:r>
              <w:rPr>
                <w:b/>
                <w:color w:val="8A4B00"/>
              </w:rPr>
              <w:t>REQUIRES CONFIRMATION</w:t>
            </w:r>
            <w:r>
              <w:rPr/>
              <w:br/>
            </w:r>
            <w:r>
              <w:rPr>
                <w:rStyle w:val="Strong"/>
              </w:rPr>
              <w:t>Single-answer selection task family.</w:t>
            </w:r>
            <w:r>
              <w:rPr/>
              <w:br/>
              <w:t>Reading and Listening single-answer MCQs, Highlight Correct Summary, and Select Missing Word.</w:t>
            </w:r>
          </w:p>
        </w:tc>
        <w:tc>
          <w:tcPr>
            <w:tcW w:w="2545"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Multiple-answer MCQs, audio, and summarization.</w:t>
            </w:r>
          </w:p>
        </w:tc>
        <w:tc>
          <w:tcPr>
            <w:tcW w:w="3934"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These variants are implemented but not individually named. They reuse common components and should not be counted as four independent engines.</w:t>
            </w:r>
          </w:p>
        </w:tc>
        <w:tc>
          <w:tcPr>
            <w:tcW w:w="28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ind w:hanging="0" w:start="0" w:end="0"/>
              <w:jc w:val="start"/>
              <w:rPr>
                <w:rFonts w:ascii="Consolas;monospace" w:hAnsi="Consolas;monospace"/>
                <w:color w:val="334963"/>
                <w:sz w:val="15"/>
              </w:rPr>
            </w:pPr>
            <w:r>
              <w:rPr>
                <w:rFonts w:ascii="Consolas;monospace" w:hAnsi="Consolas;monospace"/>
                <w:color w:val="334963"/>
                <w:sz w:val="15"/>
              </w:rPr>
              <w:t>frontend/src/components/ExamShell.jsx:867</w:t>
              <w:br/>
              <w:t>frontend/src/components/ExamShell.jsx:897</w:t>
              <w:br/>
              <w:t>examinor/services/rule_evaluator.py:312</w:t>
            </w:r>
          </w:p>
        </w:tc>
        <w:tc>
          <w:tcPr>
            <w:tcW w:w="23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Not identifiable. Any estimate must account for component reuse.</w:t>
            </w:r>
          </w:p>
        </w:tc>
      </w:tr>
      <w:tr>
        <w:trPr/>
        <w:tc>
          <w:tcPr>
            <w:tcW w:w="3557" w:type="dxa"/>
            <w:tcBorders>
              <w:start w:val="single" w:sz="6" w:space="0" w:color="808080"/>
              <w:bottom w:val="single" w:sz="2" w:space="0" w:color="808080"/>
              <w:end w:val="single" w:sz="6" w:space="0" w:color="808080"/>
            </w:tcBorders>
            <w:shd w:fill="FFFAF0" w:val="clear"/>
            <w:vAlign w:val="center"/>
          </w:tcPr>
          <w:p>
            <w:pPr>
              <w:pStyle w:val="TableContents"/>
              <w:bidi w:val="0"/>
              <w:spacing w:before="80" w:after="60"/>
              <w:ind w:hanging="0" w:start="0" w:end="0"/>
              <w:jc w:val="start"/>
              <w:rPr/>
            </w:pPr>
            <w:r>
              <w:rPr>
                <w:b/>
                <w:color w:val="8A4B00"/>
              </w:rPr>
              <w:t>REQUIRES CONFIRMATION</w:t>
            </w:r>
            <w:r>
              <w:rPr/>
              <w:br/>
            </w:r>
            <w:r>
              <w:rPr>
                <w:rStyle w:val="Strong"/>
              </w:rPr>
              <w:t>Custom evaluation-operations dashboard.</w:t>
            </w:r>
            <w:r>
              <w:rPr/>
              <w:br/>
              <w:t>Processing, pending and failed totals; API-limit failures; recent sessions and admin links.</w:t>
            </w:r>
          </w:p>
        </w:tc>
        <w:tc>
          <w:tcPr>
            <w:tcW w:w="2545"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Backend/admin functionality and candidate result reporting.</w:t>
            </w:r>
          </w:p>
        </w:tc>
        <w:tc>
          <w:tcPr>
            <w:tcW w:w="3934"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A cross-session operations page differs from an individual result report, although basic administrative visibility may be implied in a working admin system.</w:t>
            </w:r>
          </w:p>
        </w:tc>
        <w:tc>
          <w:tcPr>
            <w:tcW w:w="28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ind w:hanging="0" w:start="0" w:end="0"/>
              <w:jc w:val="start"/>
              <w:rPr/>
            </w:pPr>
            <w:r>
              <w:rPr>
                <w:rFonts w:ascii="Consolas;monospace" w:hAnsi="Consolas;monospace"/>
                <w:color w:val="334963"/>
                <w:sz w:val="15"/>
              </w:rPr>
              <w:t>abe_pte/admin_dashboard.py:31</w:t>
              <w:br/>
              <w:t>templates/admin/index.html:10</w:t>
            </w:r>
            <w:r>
              <w:rPr/>
              <w:br/>
              <w:t xml:space="preserve">Relevant history: commits </w:t>
            </w:r>
            <w:r>
              <w:rPr>
                <w:rFonts w:ascii="Consolas;monospace" w:hAnsi="Consolas;monospace"/>
                <w:color w:val="334963"/>
                <w:sz w:val="15"/>
              </w:rPr>
              <w:t>6fbfdb1</w:t>
            </w:r>
            <w:r>
              <w:rPr/>
              <w:t xml:space="preserve"> and </w:t>
            </w:r>
            <w:r>
              <w:rPr>
                <w:rFonts w:ascii="Consolas;monospace" w:hAnsi="Consolas;monospace"/>
                <w:color w:val="334963"/>
                <w:sz w:val="15"/>
              </w:rPr>
              <w:t>a0b16c4</w:t>
            </w:r>
            <w:r>
              <w:rPr/>
              <w:t>.</w:t>
            </w:r>
          </w:p>
        </w:tc>
        <w:tc>
          <w:tcPr>
            <w:tcW w:w="23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Not identifiable. Exclude ordinary admin setup and fault handling.</w:t>
            </w:r>
          </w:p>
        </w:tc>
      </w:tr>
      <w:tr>
        <w:trPr/>
        <w:tc>
          <w:tcPr>
            <w:tcW w:w="3557" w:type="dxa"/>
            <w:tcBorders>
              <w:start w:val="single" w:sz="6" w:space="0" w:color="808080"/>
              <w:bottom w:val="single" w:sz="2" w:space="0" w:color="808080"/>
              <w:end w:val="single" w:sz="6" w:space="0" w:color="808080"/>
            </w:tcBorders>
            <w:shd w:fill="FFFAF0" w:val="clear"/>
            <w:vAlign w:val="center"/>
          </w:tcPr>
          <w:p>
            <w:pPr>
              <w:pStyle w:val="TableContents"/>
              <w:bidi w:val="0"/>
              <w:spacing w:before="80" w:after="60"/>
              <w:ind w:hanging="0" w:start="0" w:end="0"/>
              <w:jc w:val="start"/>
              <w:rPr/>
            </w:pPr>
            <w:r>
              <w:rPr>
                <w:b/>
                <w:color w:val="8A4B00"/>
              </w:rPr>
              <w:t>REQUIRES CONFIRMATION</w:t>
            </w:r>
            <w:r>
              <w:rPr/>
              <w:br/>
            </w:r>
            <w:r>
              <w:rPr>
                <w:rStyle w:val="Strong"/>
              </w:rPr>
              <w:t>Selective question-bank backup/export utility.</w:t>
            </w:r>
            <w:r>
              <w:rPr/>
              <w:br/>
              <w:t>Packages master records and media, reports missing media, excludes candidate responses, and provides restore guidance.</w:t>
            </w:r>
          </w:p>
        </w:tc>
        <w:tc>
          <w:tcPr>
            <w:tcW w:w="2545"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Database architecture and question/test management.</w:t>
            </w:r>
          </w:p>
        </w:tc>
        <w:tc>
          <w:tcPr>
            <w:tcW w:w="3934"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The reusable selective export is not specified, but backup work may be considered ordinary implementation or maintenance.</w:t>
            </w:r>
          </w:p>
        </w:tc>
        <w:tc>
          <w:tcPr>
            <w:tcW w:w="28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ind w:hanging="0" w:start="0" w:end="0"/>
              <w:jc w:val="start"/>
              <w:rPr/>
            </w:pPr>
            <w:r>
              <w:rPr>
                <w:rFonts w:ascii="Consolas;monospace" w:hAnsi="Consolas;monospace"/>
                <w:color w:val="334963"/>
                <w:sz w:val="15"/>
              </w:rPr>
              <w:t>mocktest/management/commands/backup_question_bank.py:34</w:t>
              <w:br/>
              <w:t>mocktest/management/commands/backup_question_bank.py:73</w:t>
            </w:r>
            <w:r>
              <w:rPr/>
              <w:br/>
              <w:t xml:space="preserve">Commit </w:t>
            </w:r>
            <w:r>
              <w:rPr>
                <w:rFonts w:ascii="Consolas;monospace" w:hAnsi="Consolas;monospace"/>
                <w:color w:val="334963"/>
                <w:sz w:val="15"/>
              </w:rPr>
              <w:t>6477b9e</w:t>
            </w:r>
            <w:r>
              <w:rPr/>
              <w:t>, 27 June 2026.</w:t>
            </w:r>
          </w:p>
        </w:tc>
        <w:tc>
          <w:tcPr>
            <w:tcW w:w="2357" w:type="dxa"/>
            <w:tcBorders>
              <w:start w:val="single" w:sz="2" w:space="0" w:color="808080"/>
              <w:bottom w:val="single" w:sz="2" w:space="0" w:color="808080"/>
              <w:end w:val="single" w:sz="6" w:space="0" w:color="808080"/>
            </w:tcBorders>
            <w:shd w:fill="FFFAF0" w:val="clear"/>
            <w:vAlign w:val="center"/>
          </w:tcPr>
          <w:p>
            <w:pPr>
              <w:pStyle w:val="TableContents"/>
              <w:bidi w:val="0"/>
              <w:spacing w:before="80" w:after="160"/>
              <w:jc w:val="start"/>
              <w:rPr/>
            </w:pPr>
            <w:r>
              <w:rPr/>
              <w:t>Not identifiable. Exclude routine deployment backup checks.</w:t>
            </w:r>
          </w:p>
        </w:tc>
      </w:tr>
      <w:tr>
        <w:trPr/>
        <w:tc>
          <w:tcPr>
            <w:tcW w:w="3557" w:type="dxa"/>
            <w:tcBorders>
              <w:start w:val="single" w:sz="6" w:space="0" w:color="808080"/>
              <w:bottom w:val="single" w:sz="6" w:space="0" w:color="808080"/>
              <w:end w:val="single" w:sz="6" w:space="0" w:color="808080"/>
            </w:tcBorders>
            <w:shd w:fill="FFFAF0" w:val="clear"/>
            <w:vAlign w:val="center"/>
          </w:tcPr>
          <w:p>
            <w:pPr>
              <w:pStyle w:val="TableContents"/>
              <w:bidi w:val="0"/>
              <w:spacing w:before="80" w:after="60"/>
              <w:ind w:hanging="0" w:start="0" w:end="0"/>
              <w:jc w:val="start"/>
              <w:rPr/>
            </w:pPr>
            <w:r>
              <w:rPr>
                <w:b/>
                <w:color w:val="8A4B00"/>
              </w:rPr>
              <w:t>REQUIRES CONFIRMATION</w:t>
            </w:r>
            <w:r>
              <w:rPr/>
              <w:br/>
            </w:r>
            <w:r>
              <w:rPr>
                <w:rStyle w:val="Strong"/>
              </w:rPr>
              <w:t>Question-content remediation and owner handoff.</w:t>
            </w:r>
            <w:r>
              <w:rPr/>
              <w:br/>
              <w:t>Reconstructed missing listening answers, reviewed HIW source transcripts, applied approved content, and prepared paper-specific correction instructions.</w:t>
            </w:r>
          </w:p>
        </w:tc>
        <w:tc>
          <w:tcPr>
            <w:tcW w:w="2545" w:type="dxa"/>
            <w:tcBorders>
              <w:start w:val="single" w:sz="2" w:space="0" w:color="808080"/>
              <w:bottom w:val="single" w:sz="6" w:space="0" w:color="808080"/>
              <w:end w:val="single" w:sz="6" w:space="0" w:color="808080"/>
            </w:tcBorders>
            <w:shd w:fill="FFFAF0" w:val="clear"/>
            <w:vAlign w:val="center"/>
          </w:tcPr>
          <w:p>
            <w:pPr>
              <w:pStyle w:val="TableContents"/>
              <w:bidi w:val="0"/>
              <w:spacing w:before="80" w:after="160"/>
              <w:jc w:val="start"/>
              <w:rPr/>
            </w:pPr>
            <w:r>
              <w:rPr/>
              <w:t>Platform development and testing. Responsibility for producing or correcting client question content is not allocated.</w:t>
            </w:r>
          </w:p>
        </w:tc>
        <w:tc>
          <w:tcPr>
            <w:tcW w:w="3934" w:type="dxa"/>
            <w:tcBorders>
              <w:start w:val="single" w:sz="2" w:space="0" w:color="808080"/>
              <w:bottom w:val="single" w:sz="6" w:space="0" w:color="808080"/>
              <w:end w:val="single" w:sz="6" w:space="0" w:color="808080"/>
            </w:tcBorders>
            <w:shd w:fill="FFFAF0" w:val="clear"/>
            <w:vAlign w:val="center"/>
          </w:tcPr>
          <w:p>
            <w:pPr>
              <w:pStyle w:val="TableContents"/>
              <w:bidi w:val="0"/>
              <w:spacing w:before="80" w:after="160"/>
              <w:jc w:val="start"/>
              <w:rPr/>
            </w:pPr>
            <w:r>
              <w:rPr/>
              <w:t>This may be additional content service work only where content responsibility was outside the agency's scope and the work was not needed to remedy an agency defect.</w:t>
            </w:r>
          </w:p>
        </w:tc>
        <w:tc>
          <w:tcPr>
            <w:tcW w:w="2857" w:type="dxa"/>
            <w:tcBorders>
              <w:start w:val="single" w:sz="2" w:space="0" w:color="808080"/>
              <w:bottom w:val="single" w:sz="6" w:space="0" w:color="808080"/>
              <w:end w:val="single" w:sz="6" w:space="0" w:color="808080"/>
            </w:tcBorders>
            <w:shd w:fill="FFFAF0" w:val="clear"/>
            <w:vAlign w:val="center"/>
          </w:tcPr>
          <w:p>
            <w:pPr>
              <w:pStyle w:val="TableContents"/>
              <w:bidi w:val="0"/>
              <w:spacing w:before="80" w:after="160"/>
              <w:ind w:hanging="0" w:start="0" w:end="0"/>
              <w:jc w:val="start"/>
              <w:rPr/>
            </w:pPr>
            <w:r>
              <w:rPr>
                <w:rFonts w:ascii="Consolas;monospace" w:hAnsi="Consolas;monospace"/>
                <w:color w:val="334963"/>
                <w:sz w:val="15"/>
              </w:rPr>
              <w:t>mocktest/management/commands/prepare_highlight_incorrect_word_keys.py:21</w:t>
              <w:br/>
              <w:t>mocktest/management/commands/configure_listening_fill_blanks.py:8</w:t>
              <w:br/>
              <w:t>QUESTION_BANK_OWNER_MESSAGES.md</w:t>
            </w:r>
            <w:r>
              <w:rPr/>
              <w:br/>
              <w:t>Production evidence shows 19 HIW transcripts applied and subsequently validated.</w:t>
            </w:r>
          </w:p>
        </w:tc>
        <w:tc>
          <w:tcPr>
            <w:tcW w:w="2357" w:type="dxa"/>
            <w:tcBorders>
              <w:start w:val="single" w:sz="2" w:space="0" w:color="808080"/>
              <w:bottom w:val="single" w:sz="6" w:space="0" w:color="808080"/>
              <w:end w:val="single" w:sz="6" w:space="0" w:color="808080"/>
            </w:tcBorders>
            <w:shd w:fill="FFFAF0" w:val="clear"/>
            <w:vAlign w:val="center"/>
          </w:tcPr>
          <w:p>
            <w:pPr>
              <w:pStyle w:val="TableContents"/>
              <w:bidi w:val="0"/>
              <w:spacing w:before="80" w:after="160"/>
              <w:jc w:val="start"/>
              <w:rPr/>
            </w:pPr>
            <w:r>
              <w:rPr/>
              <w:t>Not identifiable. Requires content-ownership and itemized work records.</w:t>
            </w:r>
          </w:p>
        </w:tc>
      </w:tr>
    </w:tbl>
    <w:p>
      <w:pPr>
        <w:pStyle w:val="Heading2"/>
        <w:numPr>
          <w:ilvl w:val="0"/>
          <w:numId w:val="0"/>
        </w:numPr>
        <w:pBdr/>
        <w:bidi w:val="0"/>
        <w:spacing w:before="360" w:after="140"/>
        <w:ind w:start="360" w:end="360"/>
        <w:jc w:val="start"/>
        <w:rPr/>
      </w:pPr>
      <w:r>
        <w:rPr/>
        <w:t>Reviewed work excluded from additional-work claims</w:t>
      </w:r>
    </w:p>
    <w:p>
      <w:pPr>
        <w:pStyle w:val="BodyText"/>
        <w:numPr>
          <w:ilvl w:val="0"/>
          <w:numId w:val="2"/>
        </w:numPr>
        <w:tabs>
          <w:tab w:val="clear" w:pos="1134"/>
          <w:tab w:val="left" w:pos="789" w:leader="none"/>
        </w:tabs>
        <w:bidi w:val="0"/>
        <w:spacing w:before="80" w:after="0"/>
        <w:ind w:hanging="283" w:start="789"/>
        <w:jc w:val="start"/>
        <w:rPr/>
      </w:pPr>
      <w:r>
        <w:rPr/>
        <w:t xml:space="preserve">Architecture, APIs, database/admin models, OpenAI/Whisper integration, media conversion, and asynchronous processing. </w:t>
      </w:r>
    </w:p>
    <w:p>
      <w:pPr>
        <w:pStyle w:val="BodyText"/>
        <w:numPr>
          <w:ilvl w:val="0"/>
          <w:numId w:val="2"/>
        </w:numPr>
        <w:tabs>
          <w:tab w:val="clear" w:pos="1134"/>
          <w:tab w:val="left" w:pos="789" w:leader="none"/>
        </w:tabs>
        <w:bidi w:val="0"/>
        <w:spacing w:before="80" w:after="0"/>
        <w:ind w:hanging="283" w:start="789"/>
        <w:jc w:val="start"/>
        <w:rPr/>
      </w:pPr>
      <w:r>
        <w:rPr/>
        <w:t xml:space="preserve">The timed exam runner, question flow, auto-save, completion flow, practice mode, and candidate result pages. </w:t>
      </w:r>
    </w:p>
    <w:p>
      <w:pPr>
        <w:pStyle w:val="BodyText"/>
        <w:numPr>
          <w:ilvl w:val="0"/>
          <w:numId w:val="2"/>
        </w:numPr>
        <w:tabs>
          <w:tab w:val="clear" w:pos="1134"/>
          <w:tab w:val="left" w:pos="789" w:leader="none"/>
        </w:tabs>
        <w:bidi w:val="0"/>
        <w:spacing w:before="80" w:after="0"/>
        <w:ind w:hanging="283" w:start="789"/>
        <w:jc w:val="start"/>
        <w:rPr/>
      </w:pPr>
      <w:r>
        <w:rPr/>
        <w:t xml:space="preserve">Describe Image, summarization, drag/drop blanks, multiple-answer MCQs, reorder paragraphs, and dictation. </w:t>
      </w:r>
    </w:p>
    <w:p>
      <w:pPr>
        <w:pStyle w:val="BodyText"/>
        <w:numPr>
          <w:ilvl w:val="0"/>
          <w:numId w:val="2"/>
        </w:numPr>
        <w:tabs>
          <w:tab w:val="clear" w:pos="1134"/>
          <w:tab w:val="left" w:pos="789" w:leader="none"/>
        </w:tabs>
        <w:bidi w:val="0"/>
        <w:spacing w:before="80" w:after="0"/>
        <w:ind w:hanging="283" w:start="789"/>
        <w:jc w:val="start"/>
        <w:rPr/>
      </w:pPr>
      <w:r>
        <w:rPr/>
        <w:t xml:space="preserve">Weighted and normalized scoring, rubric explanations, PDF reports, language-error highlights, and section navigation. </w:t>
      </w:r>
    </w:p>
    <w:p>
      <w:pPr>
        <w:pStyle w:val="BodyText"/>
        <w:numPr>
          <w:ilvl w:val="0"/>
          <w:numId w:val="2"/>
        </w:numPr>
        <w:tabs>
          <w:tab w:val="clear" w:pos="1134"/>
          <w:tab w:val="left" w:pos="789" w:leader="none"/>
        </w:tabs>
        <w:bidi w:val="0"/>
        <w:spacing w:before="80" w:after="0"/>
        <w:ind w:hanging="283" w:start="789"/>
        <w:jc w:val="start"/>
        <w:rPr/>
      </w:pPr>
      <w:r>
        <w:rPr/>
        <w:t xml:space="preserve">Scoring corrections, missing-audio handling, recording fixes, payload repairs, duplicate prevention, completion/PDF gating, and other reliability fixes. </w:t>
      </w:r>
    </w:p>
    <w:p>
      <w:pPr>
        <w:pStyle w:val="BodyText"/>
        <w:numPr>
          <w:ilvl w:val="0"/>
          <w:numId w:val="2"/>
        </w:numPr>
        <w:tabs>
          <w:tab w:val="clear" w:pos="1134"/>
          <w:tab w:val="left" w:pos="789" w:leader="none"/>
        </w:tabs>
        <w:bidi w:val="0"/>
        <w:spacing w:before="80" w:after="0"/>
        <w:ind w:hanging="283" w:start="789"/>
        <w:jc w:val="start"/>
        <w:rPr/>
      </w:pPr>
      <w:r>
        <w:rPr/>
        <w:t xml:space="preserve">Regression tests, QA replay, model validation, deployment checks, audit utilities, and safe rollout controls. </w:t>
      </w:r>
    </w:p>
    <w:p>
      <w:pPr>
        <w:pStyle w:val="BodyText"/>
        <w:numPr>
          <w:ilvl w:val="0"/>
          <w:numId w:val="2"/>
        </w:numPr>
        <w:tabs>
          <w:tab w:val="clear" w:pos="1134"/>
          <w:tab w:val="left" w:pos="789" w:leader="none"/>
        </w:tabs>
        <w:bidi w:val="0"/>
        <w:ind w:hanging="283" w:start="789"/>
        <w:jc w:val="start"/>
        <w:rPr/>
      </w:pPr>
      <w:r>
        <w:rPr/>
        <w:t xml:space="preserve">Responsive layouts, standard interface design, readiness/microphone checks, icons, and normal admin presentation. </w:t>
      </w:r>
    </w:p>
    <w:p>
      <w:pPr>
        <w:pStyle w:val="BodyTextsmall"/>
        <w:bidi w:val="0"/>
        <w:jc w:val="start"/>
        <w:rPr/>
      </w:pPr>
      <w:r>
        <w:rPr/>
        <w:t>These items are covered expressly, are reasonably necessary to deliver the promised system, or fall within Phase 4's QA, bug-fix, and tuning commitment. Inactive source files and unrelated or withdrawn requests were also excluded.</w:t>
      </w:r>
    </w:p>
    <w:p>
      <w:pPr>
        <w:pStyle w:val="Heading2"/>
        <w:numPr>
          <w:ilvl w:val="0"/>
          <w:numId w:val="0"/>
        </w:numPr>
        <w:pBdr/>
        <w:bidi w:val="0"/>
        <w:spacing w:before="360" w:after="140"/>
        <w:ind w:start="360" w:end="360"/>
        <w:jc w:val="start"/>
        <w:rPr/>
      </w:pPr>
      <w:r>
        <w:rPr/>
        <w:t>Totals and confirmation required</w:t>
      </w:r>
    </w:p>
    <w:p>
      <w:pPr>
        <w:pStyle w:val="BodyText"/>
        <w:numPr>
          <w:ilvl w:val="0"/>
          <w:numId w:val="3"/>
        </w:numPr>
        <w:tabs>
          <w:tab w:val="clear" w:pos="1134"/>
          <w:tab w:val="left" w:pos="789" w:leader="none"/>
        </w:tabs>
        <w:bidi w:val="0"/>
        <w:spacing w:before="80" w:after="0"/>
        <w:ind w:hanging="283" w:start="789"/>
        <w:jc w:val="start"/>
        <w:rPr/>
      </w:pPr>
      <w:r>
        <w:rPr>
          <w:rStyle w:val="Strong"/>
        </w:rPr>
        <w:t>Total confirmed out-of-scope items: 1.</w:t>
      </w:r>
      <w:r>
        <w:rPr/>
        <w:t xml:space="preserve"> This is limited to the reusable AI explanation-authoring and publication workflow relative to the supplied proposal. </w:t>
      </w:r>
    </w:p>
    <w:p>
      <w:pPr>
        <w:pStyle w:val="BodyText"/>
        <w:numPr>
          <w:ilvl w:val="0"/>
          <w:numId w:val="3"/>
        </w:numPr>
        <w:tabs>
          <w:tab w:val="clear" w:pos="1134"/>
          <w:tab w:val="left" w:pos="789" w:leader="none"/>
        </w:tabs>
        <w:bidi w:val="0"/>
        <w:spacing w:before="80" w:after="0"/>
        <w:ind w:hanging="283" w:start="789"/>
        <w:jc w:val="start"/>
        <w:rPr/>
      </w:pPr>
      <w:r>
        <w:rPr>
          <w:rStyle w:val="Strong"/>
        </w:rPr>
        <w:t>Items requiring confirmation: 8.</w:t>
      </w:r>
      <w:r>
        <w:rPr/>
        <w:t xml:space="preserve"> Essay; HIW; Reading dropdown blanks; Listening typed blanks; single-answer selection variants; operations dashboard; selective question-bank export; and question-content remediation/owner handoff. </w:t>
      </w:r>
    </w:p>
    <w:p>
      <w:pPr>
        <w:pStyle w:val="BodyText"/>
        <w:numPr>
          <w:ilvl w:val="0"/>
          <w:numId w:val="3"/>
        </w:numPr>
        <w:tabs>
          <w:tab w:val="clear" w:pos="1134"/>
          <w:tab w:val="left" w:pos="789" w:leader="none"/>
        </w:tabs>
        <w:bidi w:val="0"/>
        <w:ind w:hanging="283" w:start="789"/>
        <w:jc w:val="start"/>
        <w:rPr/>
      </w:pPr>
      <w:r>
        <w:rPr>
          <w:rStyle w:val="Strong"/>
        </w:rPr>
        <w:t>Estimated additional effort:</w:t>
      </w:r>
      <w:r>
        <w:rPr/>
        <w:t xml:space="preserve"> not reliably identifiable from the available evidence. Commit dates, elapsed maintenance time, and code volume are not treated as work-hour records. </w:t>
      </w:r>
    </w:p>
    <w:p>
      <w:pPr>
        <w:pStyle w:val="Heading2"/>
        <w:numPr>
          <w:ilvl w:val="0"/>
          <w:numId w:val="0"/>
        </w:numPr>
        <w:pBdr/>
        <w:bidi w:val="0"/>
        <w:spacing w:before="360" w:after="140"/>
        <w:ind w:start="360" w:end="360"/>
        <w:jc w:val="start"/>
        <w:rPr/>
      </w:pPr>
      <w:r>
        <w:rPr/>
        <w:t>Client-ready summary</w:t>
      </w:r>
    </w:p>
    <w:tbl>
      <w:tblPr>
        <w:tblW w:w="5000" w:type="pct"/>
        <w:jc w:val="start"/>
        <w:tblInd w:w="0" w:type="dxa"/>
        <w:tblLayout w:type="fixed"/>
        <w:tblCellMar>
          <w:top w:w="150" w:type="dxa"/>
          <w:start w:w="150" w:type="dxa"/>
          <w:bottom w:w="150" w:type="dxa"/>
          <w:end w:w="150" w:type="dxa"/>
        </w:tblCellMar>
      </w:tblPr>
      <w:tblGrid>
        <w:gridCol w:w="15250"/>
      </w:tblGrid>
      <w:tr>
        <w:trPr/>
        <w:tc>
          <w:tcPr>
            <w:tcW w:w="15250" w:type="dxa"/>
            <w:tcBorders/>
            <w:vAlign w:val="center"/>
          </w:tcPr>
          <w:p>
            <w:pPr>
              <w:pStyle w:val="TableContents"/>
              <w:bidi w:val="0"/>
              <w:spacing w:before="80" w:after="160"/>
              <w:jc w:val="start"/>
              <w:rPr>
                <w:color w:val="FFFFFF"/>
              </w:rPr>
            </w:pPr>
            <w:r>
              <w:rPr>
                <w:color w:val="FFFFFF"/>
              </w:rPr>
              <w:t>We compared the current build with the original MVP proposal and identified an additional workflow for drafting, reviewing, and publishing reusable AI answer explanations. Several other capabilities need confirmation against the agreed question-type list and content/support responsibilities before they can be treated as additional scope. Scoring corrections, reporting improvements, QA, and stability fixes have been kept within the original scope. Effort and any commercial adjustment should be agreed using the supporting work records.</w:t>
            </w:r>
          </w:p>
        </w:tc>
      </w:tr>
    </w:tbl>
    <w:p>
      <w:pPr>
        <w:pStyle w:val="BodyText"/>
        <w:bidi w:val="0"/>
        <w:spacing w:before="80" w:after="160"/>
        <w:ind w:start="80" w:end="80"/>
        <w:jc w:val="start"/>
        <w:rPr/>
      </w:pPr>
      <w:r>
        <w:rPr/>
      </w:r>
    </w:p>
    <w:sectPr>
      <w:type w:val="nextPage"/>
      <w:pgSz w:orient="landscape" w:w="16838" w:h="11906"/>
      <w:pgMar w:left="794" w:right="794" w:gutter="0" w:header="0" w:top="794" w:footer="0" w:bottom="794"/>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Consolas">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Arial;sans-serif" w:hAnsi="Arial;sans-serif" w:eastAsia="Arial;sans-serif" w:cs="Arial;sans-serif"/>
      <w:color w:val="172033"/>
      <w:sz w:val="20"/>
      <w:szCs w:val="20"/>
      <w:lang w:val="en-US" w:eastAsia="zh-CN" w:bidi="hi-IN"/>
    </w:rPr>
  </w:style>
  <w:style w:type="paragraph" w:styleId="Heading1">
    <w:name w:val="Heading 1"/>
    <w:basedOn w:val="Heading"/>
    <w:next w:val="BodyText"/>
    <w:qFormat/>
    <w:pPr>
      <w:spacing w:before="240" w:after="80"/>
    </w:pPr>
    <w:rPr>
      <w:rFonts w:ascii="Noto Sans" w:hAnsi="Noto Sans"/>
      <w:b/>
      <w:bCs/>
      <w:color w:val="173A63"/>
      <w:sz w:val="44"/>
      <w:szCs w:val="44"/>
    </w:rPr>
  </w:style>
  <w:style w:type="paragraph" w:styleId="Heading2">
    <w:name w:val="Heading 2"/>
    <w:basedOn w:val="Heading"/>
    <w:next w:val="BodyText"/>
    <w:qFormat/>
    <w:pPr>
      <w:numPr>
        <w:ilvl w:val="0"/>
        <w:numId w:val="0"/>
      </w:numPr>
      <w:pBdr>
        <w:bottom w:val="single" w:sz="2" w:space="3" w:color="9DB1C7"/>
      </w:pBdr>
      <w:spacing w:before="360" w:after="140"/>
      <w:ind w:start="360" w:end="360"/>
      <w:outlineLvl w:val="1"/>
    </w:pPr>
    <w:rPr>
      <w:rFonts w:ascii="Liberation Serif" w:hAnsi="Liberation Serif" w:eastAsia="Noto Serif CJK SC" w:cs="Noto Sans Devanagari"/>
      <w:b/>
      <w:bCs/>
      <w:color w:val="173A63"/>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80" w:after="160"/>
      <w:ind w:start="80" w:end="80"/>
    </w:pPr>
    <w:rPr/>
  </w:style>
  <w:style w:type="paragraph" w:styleId="EnvelopeReturn">
    <w:name w:val="Envelope Return"/>
    <w:basedOn w:val="Normal"/>
    <w:pPr/>
    <w:rPr>
      <w:i/>
    </w:rPr>
  </w:style>
  <w:style w:type="paragraph" w:styleId="TableContents">
    <w:name w:val="Table Contents"/>
    <w:basedOn w:val="BodyText"/>
    <w:qFormat/>
    <w:pPr/>
    <w:rPr>
      <w:sz w:val="16"/>
      <w:szCs w:val="16"/>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ableHeading">
    <w:name w:val="Table Heading"/>
    <w:basedOn w:val="TableContents"/>
    <w:qFormat/>
    <w:pPr>
      <w:suppressLineNumbers/>
      <w:jc w:val="start"/>
    </w:pPr>
    <w:rPr>
      <w:b/>
      <w:bCs/>
      <w:color w:val="FFFFFF"/>
      <w:sz w:val="17"/>
      <w:szCs w:val="17"/>
    </w:rPr>
  </w:style>
  <w:style w:type="paragraph" w:styleId="BodyTextsmall">
    <w:name w:val="Body Text.small"/>
    <w:basedOn w:val="BodyText"/>
    <w:qFormat/>
    <w:pPr/>
    <w:rPr>
      <w:color w:val="53657A"/>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975</Words>
  <Characters>7746</Characters>
  <CharactersWithSpaces>8649</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ABE PTE MVP - Proposal-to-Build Scope Review</dc:title>
</cp:coreProperties>
</file>

<file path=docProps/custom.xml><?xml version="1.0" encoding="utf-8"?>
<Properties xmlns="http://schemas.openxmlformats.org/officeDocument/2006/custom-properties" xmlns:vt="http://schemas.openxmlformats.org/officeDocument/2006/docPropsVTypes"/>
</file>