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2CE1" w14:textId="77777777" w:rsidR="00BE218F" w:rsidRPr="00EC1AD3" w:rsidRDefault="00BE218F" w:rsidP="00BA34AC">
      <w:pPr>
        <w:jc w:val="center"/>
        <w:rPr>
          <w:rFonts w:ascii="Times New Roman" w:hAnsi="Times New Roman" w:cs="Times New Roman"/>
          <w:b/>
        </w:rPr>
      </w:pPr>
      <w:r w:rsidRPr="00EC1AD3">
        <w:rPr>
          <w:rFonts w:ascii="Times New Roman" w:hAnsi="Times New Roman" w:cs="Times New Roman"/>
          <w:b/>
        </w:rPr>
        <w:t xml:space="preserve">Formulation, Optimization, and Comparative Evaluation of a Polyherbal Hydrogel Base Containing Salicylic Acid </w:t>
      </w:r>
      <w:r w:rsidRPr="00EC1AD3">
        <w:rPr>
          <w:rFonts w:ascii="Times New Roman" w:hAnsi="Times New Roman" w:cs="Times New Roman"/>
          <w:b/>
          <w:bCs/>
        </w:rPr>
        <w:t xml:space="preserve">(2%) </w:t>
      </w:r>
      <w:r w:rsidRPr="00EC1AD3">
        <w:rPr>
          <w:rFonts w:ascii="Times New Roman" w:hAnsi="Times New Roman" w:cs="Times New Roman"/>
          <w:b/>
        </w:rPr>
        <w:t>and Curcuma longa (Turmeric) Extract for Topical Applications</w:t>
      </w:r>
    </w:p>
    <w:p w14:paraId="79DA7380" w14:textId="77777777" w:rsidR="00BE218F" w:rsidRPr="00EC1AD3" w:rsidRDefault="00BE218F" w:rsidP="00BA34AC">
      <w:pPr>
        <w:pStyle w:val="ListParagraph"/>
        <w:ind w:left="0"/>
        <w:jc w:val="center"/>
        <w:rPr>
          <w:rFonts w:ascii="Times New Roman" w:hAnsi="Times New Roman" w:cs="Times New Roman"/>
          <w:b/>
          <w:bCs/>
        </w:rPr>
      </w:pPr>
    </w:p>
    <w:p w14:paraId="4C8DE571" w14:textId="77777777" w:rsidR="00BE218F" w:rsidRPr="00EC1AD3" w:rsidRDefault="00BE218F" w:rsidP="00BA34AC">
      <w:pPr>
        <w:pStyle w:val="ListParagraph"/>
        <w:ind w:left="0"/>
        <w:jc w:val="center"/>
        <w:rPr>
          <w:rFonts w:ascii="Times New Roman" w:hAnsi="Times New Roman" w:cs="Times New Roman"/>
          <w:b/>
          <w:bCs/>
        </w:rPr>
      </w:pPr>
      <w:r w:rsidRPr="00EC1AD3">
        <w:rPr>
          <w:rFonts w:ascii="Times New Roman" w:hAnsi="Times New Roman" w:cs="Times New Roman"/>
          <w:b/>
          <w:bCs/>
        </w:rPr>
        <w:t>Samruddhi Nilesh Deshmukh, *Dr. Madhuri K. Gahalod</w:t>
      </w:r>
    </w:p>
    <w:p w14:paraId="7AA8081F" w14:textId="77777777" w:rsidR="00BE218F" w:rsidRPr="00EC1AD3" w:rsidRDefault="00BE218F" w:rsidP="00BA34AC">
      <w:pPr>
        <w:pStyle w:val="ListParagraph"/>
        <w:ind w:left="0"/>
        <w:jc w:val="center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 B.Tech Cosmetic Technology, 3</w:t>
      </w:r>
      <w:r w:rsidRPr="00EC1AD3">
        <w:rPr>
          <w:rFonts w:ascii="Times New Roman" w:hAnsi="Times New Roman" w:cs="Times New Roman"/>
          <w:vertAlign w:val="superscript"/>
        </w:rPr>
        <w:t>rd</w:t>
      </w:r>
      <w:r w:rsidRPr="00EC1AD3">
        <w:rPr>
          <w:rFonts w:ascii="Times New Roman" w:hAnsi="Times New Roman" w:cs="Times New Roman"/>
        </w:rPr>
        <w:t xml:space="preserve"> year, MGM University, Chh. Sambhajinagar.</w:t>
      </w:r>
    </w:p>
    <w:p w14:paraId="1B4C98EE" w14:textId="77777777" w:rsidR="00BE218F" w:rsidRPr="00EC1AD3" w:rsidRDefault="00BE218F" w:rsidP="00BA34AC">
      <w:pPr>
        <w:pStyle w:val="ListParagraph"/>
        <w:ind w:left="0"/>
        <w:jc w:val="center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*Assistant Professor, Department of Cosmetic Technology, MGM University, Chh. Sambhajinagar.</w:t>
      </w:r>
    </w:p>
    <w:p w14:paraId="6493AC1D" w14:textId="77777777" w:rsidR="00BE218F" w:rsidRPr="00EC1AD3" w:rsidRDefault="00BE218F" w:rsidP="00BA34AC">
      <w:pPr>
        <w:jc w:val="center"/>
        <w:rPr>
          <w:rFonts w:ascii="Times New Roman" w:hAnsi="Times New Roman" w:cs="Times New Roman"/>
        </w:rPr>
      </w:pPr>
    </w:p>
    <w:p w14:paraId="103EC395" w14:textId="77777777" w:rsidR="00BE218F" w:rsidRPr="00EC1AD3" w:rsidRDefault="00BE218F" w:rsidP="00BA34AC">
      <w:pPr>
        <w:jc w:val="center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  <w:bCs/>
        </w:rPr>
        <w:t>ABSTRACT</w:t>
      </w:r>
    </w:p>
    <w:p w14:paraId="52E1E5F2" w14:textId="77777777" w:rsidR="00BE218F" w:rsidRPr="00EC1AD3" w:rsidRDefault="00BE218F" w:rsidP="00BA34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This research details the formulation design, process optimization, and comprehensive physicochemical characterization of a topical hydrogel system containing a combination of 2.0% w/w Salicylic Acid (keratolytic active) and 10.0% w/w Turmeric Extract (Curcuma longa, anti-inflammatory active)</w:t>
      </w:r>
      <w:r w:rsidRPr="00EC1AD3">
        <w:rPr>
          <w:rFonts w:ascii="Times New Roman" w:hAnsi="Times New Roman" w:cs="Times New Roman"/>
          <w:vertAlign w:val="superscript"/>
        </w:rPr>
        <w:t>[3,4]</w:t>
      </w:r>
      <w:r w:rsidRPr="00EC1AD3">
        <w:rPr>
          <w:rFonts w:ascii="Times New Roman" w:hAnsi="Times New Roman" w:cs="Times New Roman"/>
        </w:rPr>
        <w:t>. Using Carbopol 940 (0.40% w/w) as a cross-linked gelling matrix, three experimental batches (F1, F2, F3) were formulated by varying co-solvent ratios and neutralizing agent concentrations</w:t>
      </w:r>
      <w:r w:rsidRPr="00EC1AD3">
        <w:rPr>
          <w:rFonts w:ascii="Times New Roman" w:hAnsi="Times New Roman" w:cs="Times New Roman"/>
          <w:vertAlign w:val="superscript"/>
        </w:rPr>
        <w:t xml:space="preserve"> [1, 2]</w:t>
      </w:r>
      <w:r w:rsidRPr="00EC1AD3">
        <w:rPr>
          <w:rFonts w:ascii="Times New Roman" w:hAnsi="Times New Roman" w:cs="Times New Roman"/>
        </w:rPr>
        <w:t xml:space="preserve">. </w:t>
      </w:r>
    </w:p>
    <w:p w14:paraId="3F3F654F" w14:textId="77777777" w:rsidR="00BE218F" w:rsidRPr="00EC1AD3" w:rsidRDefault="00BE218F" w:rsidP="00BA34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The optimized formulation (F3) demonstrated superior physical stability, desirable rheological flow, appropriate spread ability, and a skin-compatible pH value of 5.8 ± 0.2</w:t>
      </w:r>
      <w:r w:rsidRPr="00EC1AD3">
        <w:rPr>
          <w:rFonts w:ascii="Times New Roman" w:hAnsi="Times New Roman" w:cs="Times New Roman"/>
          <w:vertAlign w:val="superscript"/>
        </w:rPr>
        <w:t>[1,4]</w:t>
      </w:r>
      <w:r w:rsidRPr="00EC1AD3">
        <w:rPr>
          <w:rFonts w:ascii="Times New Roman" w:hAnsi="Times New Roman" w:cs="Times New Roman"/>
        </w:rPr>
        <w:t>. Comparative analysis with a standard commercial 2% salicylic acid gel revealed superior humectants properties and a non-greasy, smooth skin feel</w:t>
      </w:r>
      <w:r w:rsidRPr="00EC1AD3">
        <w:rPr>
          <w:rFonts w:ascii="Times New Roman" w:hAnsi="Times New Roman" w:cs="Times New Roman"/>
          <w:vertAlign w:val="superscript"/>
        </w:rPr>
        <w:t xml:space="preserve"> [1, 3]</w:t>
      </w:r>
      <w:r w:rsidRPr="00EC1AD3">
        <w:rPr>
          <w:rFonts w:ascii="Times New Roman" w:hAnsi="Times New Roman" w:cs="Times New Roman"/>
        </w:rPr>
        <w:t>. The findings indicate that the developed hydrogel offers a balanced, synergistic approach for managing inflammatory dermatological conditions</w:t>
      </w:r>
      <w:r w:rsidRPr="00EC1AD3">
        <w:rPr>
          <w:rFonts w:ascii="Times New Roman" w:hAnsi="Times New Roman" w:cs="Times New Roman"/>
          <w:vertAlign w:val="superscript"/>
        </w:rPr>
        <w:t xml:space="preserve"> [3, 4]</w:t>
      </w:r>
      <w:r w:rsidRPr="00EC1AD3">
        <w:rPr>
          <w:rFonts w:ascii="Times New Roman" w:hAnsi="Times New Roman" w:cs="Times New Roman"/>
        </w:rPr>
        <w:t>.</w:t>
      </w:r>
    </w:p>
    <w:p w14:paraId="7E1E4CDB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</w:rPr>
        <w:tab/>
      </w:r>
      <w:r w:rsidRPr="00EC1AD3">
        <w:rPr>
          <w:rFonts w:ascii="Times New Roman" w:hAnsi="Times New Roman" w:cs="Times New Roman"/>
          <w:b/>
          <w:bCs/>
        </w:rPr>
        <w:t xml:space="preserve">Keywords:-  </w:t>
      </w:r>
      <w:r w:rsidRPr="00EC1AD3">
        <w:rPr>
          <w:rFonts w:ascii="Times New Roman" w:hAnsi="Times New Roman" w:cs="Times New Roman"/>
        </w:rPr>
        <w:t>Salicylic Acid, Turmeric Extract, Curcuma longa, Hydrogel Optimization, Carbopol 940, Topical Delivery Systems, Physicochemical Evaluation.</w:t>
      </w:r>
    </w:p>
    <w:p w14:paraId="6B77607F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</w:p>
    <w:p w14:paraId="5DBDDA67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1AD3">
        <w:rPr>
          <w:rFonts w:ascii="Times New Roman" w:hAnsi="Times New Roman" w:cs="Times New Roman"/>
          <w:b/>
          <w:bCs/>
        </w:rPr>
        <w:t>1. INTRODUCTION</w:t>
      </w:r>
    </w:p>
    <w:p w14:paraId="57707B68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</w:rPr>
        <w:tab/>
        <w:t>Topical dermatological formulations rely heavily on the balance between active therapeutic agents and vehicle compatibility</w:t>
      </w:r>
      <w:r w:rsidRPr="00EC1AD3">
        <w:rPr>
          <w:rFonts w:ascii="Times New Roman" w:hAnsi="Times New Roman" w:cs="Times New Roman"/>
          <w:vertAlign w:val="superscript"/>
        </w:rPr>
        <w:t xml:space="preserve"> [1, 4]</w:t>
      </w:r>
      <w:r w:rsidRPr="00EC1AD3">
        <w:rPr>
          <w:rFonts w:ascii="Times New Roman" w:hAnsi="Times New Roman" w:cs="Times New Roman"/>
        </w:rPr>
        <w:t>. Among inflammatory skin disorders, acne vulgaris and hyper pigmentation require dual-action therapies that combine exfoliative and anti-inflammatory mechanisms.</w:t>
      </w:r>
      <w:r w:rsidRPr="00EC1AD3">
        <w:rPr>
          <w:rFonts w:ascii="Times New Roman" w:hAnsi="Times New Roman" w:cs="Times New Roman"/>
          <w:vertAlign w:val="superscript"/>
        </w:rPr>
        <w:t xml:space="preserve"> [3,4]</w:t>
      </w:r>
    </w:p>
    <w:p w14:paraId="113B2465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</w:p>
    <w:p w14:paraId="24EFE17A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</w:p>
    <w:p w14:paraId="21A9D44C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  <w:b/>
        </w:rPr>
        <w:t>Actives Profile</w:t>
      </w:r>
    </w:p>
    <w:p w14:paraId="0B422C52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</w:rPr>
        <w:tab/>
        <w:t>Salicylic Acid (2.0% w/w): A lipophilic beta-hydroxy acid (BHA) that penetrates deeply into the pilosebaceous unit</w:t>
      </w:r>
      <w:r w:rsidRPr="00EC1AD3">
        <w:rPr>
          <w:rFonts w:ascii="Times New Roman" w:hAnsi="Times New Roman" w:cs="Times New Roman"/>
          <w:vertAlign w:val="superscript"/>
        </w:rPr>
        <w:t>[3,4]</w:t>
      </w:r>
      <w:r w:rsidRPr="00EC1AD3">
        <w:rPr>
          <w:rFonts w:ascii="Times New Roman" w:hAnsi="Times New Roman" w:cs="Times New Roman"/>
        </w:rPr>
        <w:t>.It works by dissolving intercellular cement, shedding dead epidermal cells, and clearing comedones</w:t>
      </w:r>
      <w:r w:rsidRPr="00EC1AD3">
        <w:rPr>
          <w:rFonts w:ascii="Times New Roman" w:hAnsi="Times New Roman" w:cs="Times New Roman"/>
          <w:vertAlign w:val="superscript"/>
        </w:rPr>
        <w:t>[1,3]</w:t>
      </w:r>
      <w:r w:rsidRPr="00EC1AD3">
        <w:rPr>
          <w:rFonts w:ascii="Times New Roman" w:hAnsi="Times New Roman" w:cs="Times New Roman"/>
        </w:rPr>
        <w:t>.</w:t>
      </w:r>
    </w:p>
    <w:p w14:paraId="04AB0EEC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</w:rPr>
        <w:tab/>
        <w:t>Turmeric Extract / Curcuma longa (10.0% w/w): Rich in bioactive polyphenols known as curcuminoids (curcumin, desmethoxycurcumin, bisdemethoxycurcumin)</w:t>
      </w:r>
      <w:r w:rsidRPr="00EC1AD3">
        <w:rPr>
          <w:rFonts w:ascii="Times New Roman" w:hAnsi="Times New Roman" w:cs="Times New Roman"/>
          <w:vertAlign w:val="superscript"/>
        </w:rPr>
        <w:t xml:space="preserve"> [3]</w:t>
      </w:r>
      <w:r w:rsidRPr="00EC1AD3">
        <w:rPr>
          <w:rFonts w:ascii="Times New Roman" w:hAnsi="Times New Roman" w:cs="Times New Roman"/>
        </w:rPr>
        <w:t>. It exhibits potent free-radical scavenging, anti-inflammatory (via NF-κB pathway suppression), and antimicrobial activities against skin pathogens such as Cutibacterium acnes</w:t>
      </w:r>
      <w:r w:rsidRPr="00EC1AD3">
        <w:rPr>
          <w:rFonts w:ascii="Times New Roman" w:hAnsi="Times New Roman" w:cs="Times New Roman"/>
          <w:vertAlign w:val="superscript"/>
        </w:rPr>
        <w:t xml:space="preserve"> [3, 4]</w:t>
      </w:r>
      <w:r w:rsidRPr="00EC1AD3">
        <w:rPr>
          <w:rFonts w:ascii="Times New Roman" w:hAnsi="Times New Roman" w:cs="Times New Roman"/>
        </w:rPr>
        <w:t>.</w:t>
      </w:r>
    </w:p>
    <w:p w14:paraId="31683200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  <w:bCs/>
        </w:rPr>
        <w:t>2. RATIONALE OF THE STUDY</w:t>
      </w:r>
    </w:p>
    <w:p w14:paraId="055301AC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</w:rPr>
        <w:tab/>
        <w:t>While 2% salicylic acid is a standard monotherapy for topical exfoliation, its use is frequently accompanied by localized adverse effects, including dry skin, scaling, erythema, and barrier disruption</w:t>
      </w:r>
      <w:r w:rsidRPr="00EC1AD3">
        <w:rPr>
          <w:rFonts w:ascii="Times New Roman" w:hAnsi="Times New Roman" w:cs="Times New Roman"/>
          <w:vertAlign w:val="superscript"/>
        </w:rPr>
        <w:t xml:space="preserve"> [3, 4]</w:t>
      </w:r>
      <w:r w:rsidRPr="00EC1AD3">
        <w:rPr>
          <w:rFonts w:ascii="Times New Roman" w:hAnsi="Times New Roman" w:cs="Times New Roman"/>
        </w:rPr>
        <w:t>.</w:t>
      </w:r>
    </w:p>
    <w:p w14:paraId="5C73C487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Integrating a high concentration of Turmeric Extract (10%) serves a dual purpose:</w:t>
      </w:r>
    </w:p>
    <w:p w14:paraId="60474CDA" w14:textId="77777777" w:rsidR="00BE218F" w:rsidRPr="00EC1AD3" w:rsidRDefault="00BE218F" w:rsidP="00BA34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​Synergistic Efficacy: Combines chemical exfoliation with anti-inflammatory soothing</w:t>
      </w:r>
      <w:r w:rsidRPr="00EC1AD3">
        <w:rPr>
          <w:rFonts w:ascii="Times New Roman" w:hAnsi="Times New Roman" w:cs="Times New Roman"/>
          <w:vertAlign w:val="superscript"/>
        </w:rPr>
        <w:t xml:space="preserve"> [3]</w:t>
      </w:r>
      <w:r w:rsidRPr="00EC1AD3">
        <w:rPr>
          <w:rFonts w:ascii="Times New Roman" w:hAnsi="Times New Roman" w:cs="Times New Roman"/>
        </w:rPr>
        <w:t>.</w:t>
      </w:r>
    </w:p>
    <w:p w14:paraId="2A5C30EC" w14:textId="77777777" w:rsidR="00BE218F" w:rsidRPr="00EC1AD3" w:rsidRDefault="00BE218F" w:rsidP="00BA34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​Side-Effect Mitigation: Offsets salicylic acid-induced irritation via natural antioxidants and skin-soothing bioflavonoid</w:t>
      </w:r>
      <w:r w:rsidRPr="00EC1AD3">
        <w:rPr>
          <w:rFonts w:ascii="Times New Roman" w:hAnsi="Times New Roman" w:cs="Times New Roman"/>
          <w:vertAlign w:val="superscript"/>
        </w:rPr>
        <w:t xml:space="preserve"> [3, 4]</w:t>
      </w:r>
      <w:r w:rsidRPr="00EC1AD3">
        <w:rPr>
          <w:rFonts w:ascii="Times New Roman" w:hAnsi="Times New Roman" w:cs="Times New Roman"/>
        </w:rPr>
        <w:t>.</w:t>
      </w:r>
    </w:p>
    <w:p w14:paraId="2DCD8C87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​The target formulation utilizes an aqueous hydrogel structure to ensure a light, non-occlusive, non-greasy skin feel suitable for acne-prone skin types</w:t>
      </w:r>
      <w:r w:rsidRPr="00EC1AD3">
        <w:rPr>
          <w:rFonts w:ascii="Times New Roman" w:hAnsi="Times New Roman" w:cs="Times New Roman"/>
          <w:vertAlign w:val="superscript"/>
        </w:rPr>
        <w:t xml:space="preserve"> [1, 4]</w:t>
      </w:r>
      <w:r w:rsidRPr="00EC1AD3">
        <w:rPr>
          <w:rFonts w:ascii="Times New Roman" w:hAnsi="Times New Roman" w:cs="Times New Roman"/>
        </w:rPr>
        <w:t>.</w:t>
      </w:r>
    </w:p>
    <w:p w14:paraId="4194D2C3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  <w:bCs/>
        </w:rPr>
        <w:t>3. EXPERIMENTAL WORK</w:t>
      </w:r>
    </w:p>
    <w:p w14:paraId="056653C4" w14:textId="77777777" w:rsidR="00BE218F" w:rsidRPr="00EC1AD3" w:rsidRDefault="00BE218F" w:rsidP="00BA34AC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Role of Ingredients and Excipient Profile</w:t>
      </w:r>
    </w:p>
    <w:p w14:paraId="41A84046" w14:textId="77777777" w:rsidR="00BE218F" w:rsidRPr="00EC1AD3" w:rsidRDefault="00BE218F" w:rsidP="00BA34A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Active Pharmaceutical Ingredients (APIs):</w:t>
      </w:r>
    </w:p>
    <w:p w14:paraId="6EB68E80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</w:rPr>
        <w:tab/>
      </w:r>
      <w:r w:rsidRPr="00EC1AD3">
        <w:rPr>
          <w:rFonts w:ascii="Times New Roman" w:hAnsi="Times New Roman" w:cs="Times New Roman"/>
        </w:rPr>
        <w:tab/>
        <w:t>Salicylic Acid (2.0% w/w) — Keratolytic agent</w:t>
      </w:r>
      <w:r w:rsidRPr="00EC1AD3">
        <w:rPr>
          <w:rFonts w:ascii="Times New Roman" w:hAnsi="Times New Roman" w:cs="Times New Roman"/>
          <w:vertAlign w:val="superscript"/>
        </w:rPr>
        <w:t xml:space="preserve"> [1, 3].</w:t>
      </w:r>
    </w:p>
    <w:p w14:paraId="6C85B2DE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</w:rPr>
        <w:tab/>
      </w:r>
      <w:r w:rsidRPr="00EC1AD3">
        <w:rPr>
          <w:rFonts w:ascii="Times New Roman" w:hAnsi="Times New Roman" w:cs="Times New Roman"/>
        </w:rPr>
        <w:tab/>
        <w:t>Turmeric Extract (10.0% w/w) — Herbal active/antioxidant</w:t>
      </w:r>
      <w:r w:rsidRPr="00EC1AD3">
        <w:rPr>
          <w:rFonts w:ascii="Times New Roman" w:hAnsi="Times New Roman" w:cs="Times New Roman"/>
          <w:vertAlign w:val="superscript"/>
        </w:rPr>
        <w:t xml:space="preserve"> [3]</w:t>
      </w:r>
      <w:r w:rsidRPr="00EC1AD3">
        <w:rPr>
          <w:rFonts w:ascii="Times New Roman" w:hAnsi="Times New Roman" w:cs="Times New Roman"/>
        </w:rPr>
        <w:t>.</w:t>
      </w:r>
    </w:p>
    <w:p w14:paraId="602BDDEA" w14:textId="77777777" w:rsidR="00BE218F" w:rsidRPr="00EC1AD3" w:rsidRDefault="00BE218F" w:rsidP="00BA34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​Co-solvents &amp; Solubilizers:</w:t>
      </w:r>
    </w:p>
    <w:p w14:paraId="0DED502C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​Propylene Glycol (15.0% w/w) — Primary solvent required to completely dissolve crystalline salicylic acid and prevent precipitation upon gelation</w:t>
      </w:r>
      <w:r w:rsidRPr="00EC1AD3">
        <w:rPr>
          <w:rFonts w:ascii="Times New Roman" w:hAnsi="Times New Roman" w:cs="Times New Roman"/>
          <w:vertAlign w:val="superscript"/>
        </w:rPr>
        <w:t xml:space="preserve"> [1, 2]</w:t>
      </w:r>
      <w:r w:rsidRPr="00EC1AD3">
        <w:rPr>
          <w:rFonts w:ascii="Times New Roman" w:hAnsi="Times New Roman" w:cs="Times New Roman"/>
        </w:rPr>
        <w:t>.</w:t>
      </w:r>
    </w:p>
    <w:p w14:paraId="64296C9E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​Methyl Propylene Glycol / Methyl propanediol (1.0% w/w) — Secondary solvent and penetration enhancer; aids in clear dispersion of herbal extracts</w:t>
      </w:r>
      <w:r w:rsidRPr="00EC1AD3">
        <w:rPr>
          <w:rFonts w:ascii="Times New Roman" w:hAnsi="Times New Roman" w:cs="Times New Roman"/>
          <w:vertAlign w:val="superscript"/>
        </w:rPr>
        <w:t xml:space="preserve"> [1, 2].</w:t>
      </w:r>
    </w:p>
    <w:p w14:paraId="2438D1ED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​Humectants &amp; Plasticizers:</w:t>
      </w:r>
    </w:p>
    <w:p w14:paraId="32DA337C" w14:textId="77777777" w:rsidR="00BE218F" w:rsidRPr="00EC1AD3" w:rsidRDefault="00BE218F" w:rsidP="00BA34AC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​Glycerine (3.0% w/w) — Retains skin surface moisture and counteracts localized desquamation</w:t>
      </w:r>
      <w:r w:rsidRPr="00EC1AD3">
        <w:rPr>
          <w:rFonts w:ascii="Times New Roman" w:hAnsi="Times New Roman" w:cs="Times New Roman"/>
          <w:vertAlign w:val="superscript"/>
        </w:rPr>
        <w:t xml:space="preserve"> [2, 4]</w:t>
      </w:r>
      <w:r w:rsidRPr="00EC1AD3">
        <w:rPr>
          <w:rFonts w:ascii="Times New Roman" w:hAnsi="Times New Roman" w:cs="Times New Roman"/>
        </w:rPr>
        <w:t>.</w:t>
      </w:r>
    </w:p>
    <w:p w14:paraId="77F5F356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</w:rPr>
        <w:tab/>
        <w:t>Sorbitol (1.0% w/w) — Prevents skin dryness and improves gel texture</w:t>
      </w:r>
      <w:r w:rsidRPr="00EC1AD3">
        <w:rPr>
          <w:rFonts w:ascii="Times New Roman" w:hAnsi="Times New Roman" w:cs="Times New Roman"/>
          <w:vertAlign w:val="superscript"/>
        </w:rPr>
        <w:t xml:space="preserve"> [2, 4]</w:t>
      </w:r>
      <w:r w:rsidRPr="00EC1AD3">
        <w:rPr>
          <w:rFonts w:ascii="Times New Roman" w:hAnsi="Times New Roman" w:cs="Times New Roman"/>
        </w:rPr>
        <w:t>.</w:t>
      </w:r>
    </w:p>
    <w:p w14:paraId="31851B89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​Gelling Matrix:</w:t>
      </w:r>
    </w:p>
    <w:p w14:paraId="5A7E22D2" w14:textId="77777777" w:rsidR="00BE218F" w:rsidRPr="00EC1AD3" w:rsidRDefault="00BE218F" w:rsidP="00BA34AC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​Carbopol 940 (0.40% w/w) — High molecular weight polymer of acrylic acid cross-linked with allyl ethers of pentaerythritol; provides structural viscosity and clarity</w:t>
      </w:r>
      <w:r w:rsidRPr="00EC1AD3">
        <w:rPr>
          <w:rFonts w:ascii="Times New Roman" w:hAnsi="Times New Roman" w:cs="Times New Roman"/>
          <w:vertAlign w:val="superscript"/>
        </w:rPr>
        <w:t xml:space="preserve"> [1, 2]</w:t>
      </w:r>
      <w:r w:rsidRPr="00EC1AD3">
        <w:rPr>
          <w:rFonts w:ascii="Times New Roman" w:hAnsi="Times New Roman" w:cs="Times New Roman"/>
        </w:rPr>
        <w:t>.</w:t>
      </w:r>
    </w:p>
    <w:p w14:paraId="340ABA24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​Neutralizing Agent / Buffer:</w:t>
      </w:r>
    </w:p>
    <w:p w14:paraId="1A93C77B" w14:textId="77777777" w:rsidR="00BE218F" w:rsidRPr="00EC1AD3" w:rsidRDefault="00BE218F" w:rsidP="00BA34AC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​Triethanolamine (TEA) (q.s.) — Tertiary amine used to adjust pH, neutralize carboxyl groups on the Carbopol backbone, and trigger gel network expansion</w:t>
      </w:r>
      <w:r w:rsidRPr="00EC1AD3">
        <w:rPr>
          <w:rFonts w:ascii="Times New Roman" w:hAnsi="Times New Roman" w:cs="Times New Roman"/>
          <w:vertAlign w:val="superscript"/>
        </w:rPr>
        <w:t>[1,2]</w:t>
      </w:r>
      <w:r w:rsidRPr="00EC1AD3">
        <w:rPr>
          <w:rFonts w:ascii="Times New Roman" w:hAnsi="Times New Roman" w:cs="Times New Roman"/>
        </w:rPr>
        <w:t>.</w:t>
      </w:r>
    </w:p>
    <w:p w14:paraId="32586957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​Vehicle:</w:t>
      </w:r>
    </w:p>
    <w:p w14:paraId="04CDF62A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</w:rPr>
        <w:tab/>
        <w:t>Purified Water (q.s. to 100.0%) — Continuous aqueous phase</w:t>
      </w:r>
      <w:r w:rsidRPr="00EC1AD3">
        <w:rPr>
          <w:rFonts w:ascii="Times New Roman" w:hAnsi="Times New Roman" w:cs="Times New Roman"/>
          <w:vertAlign w:val="superscript"/>
        </w:rPr>
        <w:t xml:space="preserve"> [1, 2]</w:t>
      </w:r>
      <w:r w:rsidRPr="00EC1AD3">
        <w:rPr>
          <w:rFonts w:ascii="Times New Roman" w:hAnsi="Times New Roman" w:cs="Times New Roman"/>
        </w:rPr>
        <w:t>.</w:t>
      </w:r>
    </w:p>
    <w:p w14:paraId="6C696EA4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3.2 Formulation Master Formula &amp; Batch Scaling (</w:t>
      </w:r>
      <w:r w:rsidRPr="00EC1AD3">
        <w:rPr>
          <w:rFonts w:ascii="Times New Roman" w:hAnsi="Times New Roman" w:cs="Times New Roman"/>
          <w:b/>
          <w:bCs/>
        </w:rPr>
        <w:t>100g</w:t>
      </w:r>
      <w:r w:rsidRPr="00EC1AD3">
        <w:rPr>
          <w:rFonts w:ascii="Times New Roman" w:hAnsi="Times New Roman" w:cs="Times New Roman"/>
          <w:b/>
        </w:rPr>
        <w:t xml:space="preserve"> Batch)</w:t>
      </w:r>
    </w:p>
    <w:p w14:paraId="23C66B10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​Note: For a standard 100.0 g total batch mass, the weight calculations are corrected as follows:</w:t>
      </w:r>
    </w:p>
    <w:tbl>
      <w:tblPr>
        <w:tblStyle w:val="TableGrid"/>
        <w:tblW w:w="8846" w:type="dxa"/>
        <w:jc w:val="center"/>
        <w:tblLayout w:type="fixed"/>
        <w:tblLook w:val="04A0" w:firstRow="1" w:lastRow="0" w:firstColumn="1" w:lastColumn="0" w:noHBand="0" w:noVBand="1"/>
      </w:tblPr>
      <w:tblGrid>
        <w:gridCol w:w="2726"/>
        <w:gridCol w:w="1799"/>
        <w:gridCol w:w="1235"/>
        <w:gridCol w:w="1170"/>
        <w:gridCol w:w="1916"/>
      </w:tblGrid>
      <w:tr w:rsidR="00BE218F" w:rsidRPr="00EC1AD3" w14:paraId="183B806F" w14:textId="77777777" w:rsidTr="00BA34AC">
        <w:trPr>
          <w:trHeight w:val="839"/>
          <w:jc w:val="center"/>
        </w:trPr>
        <w:tc>
          <w:tcPr>
            <w:tcW w:w="2726" w:type="dxa"/>
            <w:vAlign w:val="center"/>
          </w:tcPr>
          <w:p w14:paraId="0E06046E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Ingredients</w:t>
            </w:r>
          </w:p>
        </w:tc>
        <w:tc>
          <w:tcPr>
            <w:tcW w:w="1799" w:type="dxa"/>
            <w:vAlign w:val="center"/>
          </w:tcPr>
          <w:p w14:paraId="17E4AB9B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Standard target (% w/w)</w:t>
            </w:r>
          </w:p>
        </w:tc>
        <w:tc>
          <w:tcPr>
            <w:tcW w:w="1235" w:type="dxa"/>
            <w:vAlign w:val="center"/>
          </w:tcPr>
          <w:p w14:paraId="3A982343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Batch F1 (100g)</w:t>
            </w:r>
          </w:p>
        </w:tc>
        <w:tc>
          <w:tcPr>
            <w:tcW w:w="1170" w:type="dxa"/>
            <w:vAlign w:val="center"/>
          </w:tcPr>
          <w:p w14:paraId="798DA5E4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Batch F2 (100g)</w:t>
            </w:r>
          </w:p>
        </w:tc>
        <w:tc>
          <w:tcPr>
            <w:tcW w:w="1916" w:type="dxa"/>
            <w:vAlign w:val="center"/>
          </w:tcPr>
          <w:p w14:paraId="4A2212E4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Batch F3 (100g)</w:t>
            </w:r>
          </w:p>
        </w:tc>
      </w:tr>
      <w:tr w:rsidR="00BE218F" w:rsidRPr="00EC1AD3" w14:paraId="77022977" w14:textId="77777777" w:rsidTr="00BA34AC">
        <w:trPr>
          <w:trHeight w:val="808"/>
          <w:jc w:val="center"/>
        </w:trPr>
        <w:tc>
          <w:tcPr>
            <w:tcW w:w="2726" w:type="dxa"/>
            <w:vAlign w:val="center"/>
          </w:tcPr>
          <w:p w14:paraId="3DBAE05E" w14:textId="77777777" w:rsidR="00BE218F" w:rsidRPr="00EC1AD3" w:rsidRDefault="00BE218F" w:rsidP="00BA34AC">
            <w:pPr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Salicylic acid </w:t>
            </w:r>
          </w:p>
        </w:tc>
        <w:tc>
          <w:tcPr>
            <w:tcW w:w="1799" w:type="dxa"/>
            <w:vAlign w:val="center"/>
          </w:tcPr>
          <w:p w14:paraId="453E38E9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2.00%</w:t>
            </w:r>
          </w:p>
        </w:tc>
        <w:tc>
          <w:tcPr>
            <w:tcW w:w="1235" w:type="dxa"/>
            <w:vAlign w:val="center"/>
          </w:tcPr>
          <w:p w14:paraId="7F1A1669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2.00g</w:t>
            </w:r>
          </w:p>
        </w:tc>
        <w:tc>
          <w:tcPr>
            <w:tcW w:w="1170" w:type="dxa"/>
            <w:vAlign w:val="center"/>
          </w:tcPr>
          <w:p w14:paraId="26DABD32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2.00g</w:t>
            </w:r>
          </w:p>
        </w:tc>
        <w:tc>
          <w:tcPr>
            <w:tcW w:w="1916" w:type="dxa"/>
            <w:vAlign w:val="center"/>
          </w:tcPr>
          <w:p w14:paraId="3098F52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2.00g</w:t>
            </w:r>
          </w:p>
        </w:tc>
      </w:tr>
      <w:tr w:rsidR="00BE218F" w:rsidRPr="00EC1AD3" w14:paraId="6A438EE0" w14:textId="77777777" w:rsidTr="00BA34AC">
        <w:trPr>
          <w:trHeight w:val="839"/>
          <w:jc w:val="center"/>
        </w:trPr>
        <w:tc>
          <w:tcPr>
            <w:tcW w:w="2726" w:type="dxa"/>
            <w:vAlign w:val="center"/>
          </w:tcPr>
          <w:p w14:paraId="28FDB8F0" w14:textId="77777777" w:rsidR="00BE218F" w:rsidRPr="00EC1AD3" w:rsidRDefault="00BE218F" w:rsidP="00BA34AC">
            <w:pPr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Turmeric extract </w:t>
            </w:r>
          </w:p>
        </w:tc>
        <w:tc>
          <w:tcPr>
            <w:tcW w:w="1799" w:type="dxa"/>
            <w:vAlign w:val="center"/>
          </w:tcPr>
          <w:p w14:paraId="28AC88A9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10.00%</w:t>
            </w:r>
          </w:p>
        </w:tc>
        <w:tc>
          <w:tcPr>
            <w:tcW w:w="1235" w:type="dxa"/>
            <w:vAlign w:val="center"/>
          </w:tcPr>
          <w:p w14:paraId="7E037B15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10.00g</w:t>
            </w:r>
          </w:p>
        </w:tc>
        <w:tc>
          <w:tcPr>
            <w:tcW w:w="1170" w:type="dxa"/>
            <w:vAlign w:val="center"/>
          </w:tcPr>
          <w:p w14:paraId="6695BD9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10.00g</w:t>
            </w:r>
          </w:p>
        </w:tc>
        <w:tc>
          <w:tcPr>
            <w:tcW w:w="1916" w:type="dxa"/>
            <w:vAlign w:val="center"/>
          </w:tcPr>
          <w:p w14:paraId="1997A938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10.00g</w:t>
            </w:r>
          </w:p>
        </w:tc>
      </w:tr>
      <w:tr w:rsidR="00BE218F" w:rsidRPr="00EC1AD3" w14:paraId="7177BE0D" w14:textId="77777777" w:rsidTr="00BA34AC">
        <w:trPr>
          <w:trHeight w:val="808"/>
          <w:jc w:val="center"/>
        </w:trPr>
        <w:tc>
          <w:tcPr>
            <w:tcW w:w="2726" w:type="dxa"/>
            <w:vAlign w:val="center"/>
          </w:tcPr>
          <w:p w14:paraId="3CCD16CB" w14:textId="77777777" w:rsidR="00BE218F" w:rsidRPr="00EC1AD3" w:rsidRDefault="00BE218F" w:rsidP="00BA34AC">
            <w:pPr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Propylene glycol </w:t>
            </w:r>
          </w:p>
        </w:tc>
        <w:tc>
          <w:tcPr>
            <w:tcW w:w="1799" w:type="dxa"/>
            <w:vAlign w:val="center"/>
          </w:tcPr>
          <w:p w14:paraId="22F04769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15.00%</w:t>
            </w:r>
          </w:p>
        </w:tc>
        <w:tc>
          <w:tcPr>
            <w:tcW w:w="1235" w:type="dxa"/>
            <w:vAlign w:val="center"/>
          </w:tcPr>
          <w:p w14:paraId="76F03C91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15.00g</w:t>
            </w:r>
          </w:p>
        </w:tc>
        <w:tc>
          <w:tcPr>
            <w:tcW w:w="1170" w:type="dxa"/>
            <w:vAlign w:val="center"/>
          </w:tcPr>
          <w:p w14:paraId="79507411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15.00g</w:t>
            </w:r>
          </w:p>
        </w:tc>
        <w:tc>
          <w:tcPr>
            <w:tcW w:w="1916" w:type="dxa"/>
            <w:vAlign w:val="center"/>
          </w:tcPr>
          <w:p w14:paraId="1E81B7E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15.00g</w:t>
            </w:r>
          </w:p>
        </w:tc>
      </w:tr>
      <w:tr w:rsidR="00BE218F" w:rsidRPr="00EC1AD3" w14:paraId="66B5E0D3" w14:textId="77777777" w:rsidTr="00BA34AC">
        <w:trPr>
          <w:trHeight w:val="839"/>
          <w:jc w:val="center"/>
        </w:trPr>
        <w:tc>
          <w:tcPr>
            <w:tcW w:w="2726" w:type="dxa"/>
            <w:vAlign w:val="center"/>
          </w:tcPr>
          <w:p w14:paraId="19C2E2F9" w14:textId="77777777" w:rsidR="00BE218F" w:rsidRPr="00EC1AD3" w:rsidRDefault="00BE218F" w:rsidP="00BA34AC">
            <w:pPr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Glycerine </w:t>
            </w:r>
          </w:p>
        </w:tc>
        <w:tc>
          <w:tcPr>
            <w:tcW w:w="1799" w:type="dxa"/>
            <w:vAlign w:val="center"/>
          </w:tcPr>
          <w:p w14:paraId="648A33A9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3.00%</w:t>
            </w:r>
          </w:p>
        </w:tc>
        <w:tc>
          <w:tcPr>
            <w:tcW w:w="1235" w:type="dxa"/>
            <w:vAlign w:val="center"/>
          </w:tcPr>
          <w:p w14:paraId="24ECC5FE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3.00g</w:t>
            </w:r>
          </w:p>
        </w:tc>
        <w:tc>
          <w:tcPr>
            <w:tcW w:w="1170" w:type="dxa"/>
            <w:vAlign w:val="center"/>
          </w:tcPr>
          <w:p w14:paraId="2A7474D2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3.00g</w:t>
            </w:r>
          </w:p>
        </w:tc>
        <w:tc>
          <w:tcPr>
            <w:tcW w:w="1916" w:type="dxa"/>
            <w:vAlign w:val="center"/>
          </w:tcPr>
          <w:p w14:paraId="50B26412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3.00g</w:t>
            </w:r>
          </w:p>
        </w:tc>
      </w:tr>
      <w:tr w:rsidR="00BE218F" w:rsidRPr="00EC1AD3" w14:paraId="3AC92284" w14:textId="77777777" w:rsidTr="00BA34AC">
        <w:trPr>
          <w:trHeight w:val="839"/>
          <w:jc w:val="center"/>
        </w:trPr>
        <w:tc>
          <w:tcPr>
            <w:tcW w:w="2726" w:type="dxa"/>
            <w:vAlign w:val="center"/>
          </w:tcPr>
          <w:p w14:paraId="6A7EFA22" w14:textId="77777777" w:rsidR="00BE218F" w:rsidRPr="00EC1AD3" w:rsidRDefault="00BE218F" w:rsidP="00BA34AC">
            <w:pPr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Sorbitol</w:t>
            </w:r>
          </w:p>
        </w:tc>
        <w:tc>
          <w:tcPr>
            <w:tcW w:w="1799" w:type="dxa"/>
            <w:vAlign w:val="center"/>
          </w:tcPr>
          <w:p w14:paraId="244ED161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1.00%</w:t>
            </w:r>
          </w:p>
        </w:tc>
        <w:tc>
          <w:tcPr>
            <w:tcW w:w="1235" w:type="dxa"/>
            <w:vAlign w:val="center"/>
          </w:tcPr>
          <w:p w14:paraId="7EC346B5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1.00g</w:t>
            </w:r>
          </w:p>
        </w:tc>
        <w:tc>
          <w:tcPr>
            <w:tcW w:w="1170" w:type="dxa"/>
            <w:vAlign w:val="center"/>
          </w:tcPr>
          <w:p w14:paraId="247C911B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1.00g</w:t>
            </w:r>
          </w:p>
        </w:tc>
        <w:tc>
          <w:tcPr>
            <w:tcW w:w="1916" w:type="dxa"/>
            <w:vAlign w:val="center"/>
          </w:tcPr>
          <w:p w14:paraId="59D77C51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1.00g</w:t>
            </w:r>
          </w:p>
        </w:tc>
      </w:tr>
      <w:tr w:rsidR="00BE218F" w:rsidRPr="00EC1AD3" w14:paraId="47A123F0" w14:textId="77777777" w:rsidTr="00BA34AC">
        <w:trPr>
          <w:trHeight w:val="839"/>
          <w:jc w:val="center"/>
        </w:trPr>
        <w:tc>
          <w:tcPr>
            <w:tcW w:w="2726" w:type="dxa"/>
            <w:vAlign w:val="center"/>
          </w:tcPr>
          <w:p w14:paraId="513DFBCB" w14:textId="77777777" w:rsidR="00BE218F" w:rsidRPr="00EC1AD3" w:rsidRDefault="00BE218F" w:rsidP="00BA34AC">
            <w:pPr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Methyl propylene glycol </w:t>
            </w:r>
          </w:p>
        </w:tc>
        <w:tc>
          <w:tcPr>
            <w:tcW w:w="1799" w:type="dxa"/>
            <w:vAlign w:val="center"/>
          </w:tcPr>
          <w:p w14:paraId="51F16C6B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1.00%</w:t>
            </w:r>
          </w:p>
        </w:tc>
        <w:tc>
          <w:tcPr>
            <w:tcW w:w="1235" w:type="dxa"/>
            <w:vAlign w:val="center"/>
          </w:tcPr>
          <w:p w14:paraId="35D91E43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1.00g</w:t>
            </w:r>
          </w:p>
        </w:tc>
        <w:tc>
          <w:tcPr>
            <w:tcW w:w="1170" w:type="dxa"/>
            <w:vAlign w:val="center"/>
          </w:tcPr>
          <w:p w14:paraId="656ABE9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1.00g</w:t>
            </w:r>
          </w:p>
        </w:tc>
        <w:tc>
          <w:tcPr>
            <w:tcW w:w="1916" w:type="dxa"/>
            <w:vAlign w:val="center"/>
          </w:tcPr>
          <w:p w14:paraId="4B1D8C6E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1.00g</w:t>
            </w:r>
          </w:p>
        </w:tc>
      </w:tr>
      <w:tr w:rsidR="00BE218F" w:rsidRPr="00EC1AD3" w14:paraId="0492FDD5" w14:textId="77777777" w:rsidTr="00BA34AC">
        <w:trPr>
          <w:trHeight w:val="839"/>
          <w:jc w:val="center"/>
        </w:trPr>
        <w:tc>
          <w:tcPr>
            <w:tcW w:w="2726" w:type="dxa"/>
            <w:vAlign w:val="center"/>
          </w:tcPr>
          <w:p w14:paraId="0BEC8F13" w14:textId="77777777" w:rsidR="00BE218F" w:rsidRPr="00EC1AD3" w:rsidRDefault="00BE218F" w:rsidP="00BA34AC">
            <w:pPr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Carbopol 940</w:t>
            </w:r>
          </w:p>
        </w:tc>
        <w:tc>
          <w:tcPr>
            <w:tcW w:w="1799" w:type="dxa"/>
            <w:vAlign w:val="center"/>
          </w:tcPr>
          <w:p w14:paraId="0D397A1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0.40%</w:t>
            </w:r>
          </w:p>
        </w:tc>
        <w:tc>
          <w:tcPr>
            <w:tcW w:w="1235" w:type="dxa"/>
            <w:vAlign w:val="center"/>
          </w:tcPr>
          <w:p w14:paraId="710C6717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0.30g</w:t>
            </w:r>
          </w:p>
        </w:tc>
        <w:tc>
          <w:tcPr>
            <w:tcW w:w="1170" w:type="dxa"/>
            <w:vAlign w:val="center"/>
          </w:tcPr>
          <w:p w14:paraId="03DBCECD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0.50g</w:t>
            </w:r>
          </w:p>
          <w:p w14:paraId="2299421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(0.50%)</w:t>
            </w:r>
          </w:p>
        </w:tc>
        <w:tc>
          <w:tcPr>
            <w:tcW w:w="1916" w:type="dxa"/>
            <w:vAlign w:val="center"/>
          </w:tcPr>
          <w:p w14:paraId="6C8998B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0.40g</w:t>
            </w:r>
          </w:p>
          <w:p w14:paraId="75B38F72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(0.40%)</w:t>
            </w:r>
          </w:p>
        </w:tc>
      </w:tr>
      <w:tr w:rsidR="00BE218F" w:rsidRPr="00EC1AD3" w14:paraId="7245D63B" w14:textId="77777777" w:rsidTr="00BA34AC">
        <w:trPr>
          <w:trHeight w:val="839"/>
          <w:jc w:val="center"/>
        </w:trPr>
        <w:tc>
          <w:tcPr>
            <w:tcW w:w="2726" w:type="dxa"/>
            <w:vAlign w:val="center"/>
          </w:tcPr>
          <w:p w14:paraId="162079C5" w14:textId="77777777" w:rsidR="00BE218F" w:rsidRPr="00EC1AD3" w:rsidRDefault="00BE218F" w:rsidP="00BA34AC">
            <w:pPr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Triethanolamine </w:t>
            </w:r>
          </w:p>
        </w:tc>
        <w:tc>
          <w:tcPr>
            <w:tcW w:w="1799" w:type="dxa"/>
            <w:vAlign w:val="center"/>
          </w:tcPr>
          <w:p w14:paraId="76EC468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QS</w:t>
            </w:r>
          </w:p>
        </w:tc>
        <w:tc>
          <w:tcPr>
            <w:tcW w:w="1235" w:type="dxa"/>
            <w:vAlign w:val="center"/>
          </w:tcPr>
          <w:p w14:paraId="615B236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3drops</w:t>
            </w:r>
          </w:p>
        </w:tc>
        <w:tc>
          <w:tcPr>
            <w:tcW w:w="1170" w:type="dxa"/>
            <w:vAlign w:val="center"/>
          </w:tcPr>
          <w:p w14:paraId="006914D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8drops</w:t>
            </w:r>
          </w:p>
        </w:tc>
        <w:tc>
          <w:tcPr>
            <w:tcW w:w="1916" w:type="dxa"/>
            <w:vAlign w:val="center"/>
          </w:tcPr>
          <w:p w14:paraId="5A510BFD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QS(pH5.8)</w:t>
            </w:r>
          </w:p>
        </w:tc>
      </w:tr>
      <w:tr w:rsidR="00BE218F" w:rsidRPr="00EC1AD3" w14:paraId="400D484C" w14:textId="77777777" w:rsidTr="00BA34AC">
        <w:trPr>
          <w:trHeight w:val="839"/>
          <w:jc w:val="center"/>
        </w:trPr>
        <w:tc>
          <w:tcPr>
            <w:tcW w:w="2726" w:type="dxa"/>
            <w:vAlign w:val="center"/>
          </w:tcPr>
          <w:p w14:paraId="7C387E2E" w14:textId="77777777" w:rsidR="00BE218F" w:rsidRPr="00EC1AD3" w:rsidRDefault="00BE218F" w:rsidP="00BA34AC">
            <w:pPr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Purified Water </w:t>
            </w:r>
          </w:p>
        </w:tc>
        <w:tc>
          <w:tcPr>
            <w:tcW w:w="1799" w:type="dxa"/>
            <w:vAlign w:val="center"/>
          </w:tcPr>
          <w:p w14:paraId="1E4DA85E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QS 100%</w:t>
            </w:r>
          </w:p>
        </w:tc>
        <w:tc>
          <w:tcPr>
            <w:tcW w:w="1235" w:type="dxa"/>
            <w:vAlign w:val="center"/>
          </w:tcPr>
          <w:p w14:paraId="2440E927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QS</w:t>
            </w:r>
          </w:p>
          <w:p w14:paraId="693D503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100.0g</w:t>
            </w:r>
          </w:p>
        </w:tc>
        <w:tc>
          <w:tcPr>
            <w:tcW w:w="1170" w:type="dxa"/>
            <w:vAlign w:val="center"/>
          </w:tcPr>
          <w:p w14:paraId="703A252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QS</w:t>
            </w:r>
          </w:p>
          <w:p w14:paraId="01B0B36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100.0g</w:t>
            </w:r>
          </w:p>
        </w:tc>
        <w:tc>
          <w:tcPr>
            <w:tcW w:w="1916" w:type="dxa"/>
            <w:vAlign w:val="center"/>
          </w:tcPr>
          <w:p w14:paraId="72DEFC2F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QS</w:t>
            </w:r>
          </w:p>
          <w:p w14:paraId="6F7D96C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100.0g</w:t>
            </w:r>
          </w:p>
        </w:tc>
      </w:tr>
    </w:tbl>
    <w:p w14:paraId="589B71E3" w14:textId="77777777" w:rsidR="00BE218F" w:rsidRPr="00EC1AD3" w:rsidRDefault="00BE218F" w:rsidP="00BA34AC">
      <w:pPr>
        <w:rPr>
          <w:rFonts w:ascii="Times New Roman" w:hAnsi="Times New Roman" w:cs="Times New Roman"/>
        </w:rPr>
      </w:pPr>
    </w:p>
    <w:p w14:paraId="5E6CE8FB" w14:textId="77777777" w:rsidR="00BE218F" w:rsidRPr="00EC1AD3" w:rsidRDefault="00BE218F" w:rsidP="00BA34AC">
      <w:pPr>
        <w:rPr>
          <w:rFonts w:ascii="Times New Roman" w:hAnsi="Times New Roman" w:cs="Times New Roman"/>
          <w:b/>
          <w:bCs/>
        </w:rPr>
      </w:pPr>
    </w:p>
    <w:p w14:paraId="1332C505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  <w:b/>
        </w:rPr>
        <w:t>3.3 Method of Preparation and Optimization</w:t>
      </w:r>
    </w:p>
    <w:p w14:paraId="1DBD1082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[Phase A: Hydration]</w:t>
      </w:r>
    </w:p>
    <w:p w14:paraId="792F0DD6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Carbopol 940 + Warm Purified Water </w:t>
      </w:r>
      <w:r w:rsidRPr="00EC1AD3">
        <w:rPr>
          <w:rFonts w:cs="Times New Roman"/>
        </w:rPr>
        <w:t>➔</w:t>
      </w:r>
      <w:r w:rsidRPr="00EC1AD3">
        <w:rPr>
          <w:rFonts w:ascii="Times New Roman" w:hAnsi="Times New Roman" w:cs="Times New Roman"/>
        </w:rPr>
        <w:t xml:space="preserve"> Hydrate for 12 hours (Swollen Polymer Dispersion)</w:t>
      </w:r>
    </w:p>
    <w:p w14:paraId="1D32B6F1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                                      │</w:t>
      </w:r>
    </w:p>
    <w:p w14:paraId="3DA0FA1E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                                      ▼</w:t>
      </w:r>
    </w:p>
    <w:p w14:paraId="63A81E13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[Phase B: Active Solubilization]</w:t>
      </w:r>
    </w:p>
    <w:p w14:paraId="43969C30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Salicylic Acid + Propylene Glycol + Methyl Propylene Glycol </w:t>
      </w:r>
      <w:r w:rsidRPr="00EC1AD3">
        <w:rPr>
          <w:rFonts w:cs="Times New Roman"/>
        </w:rPr>
        <w:t>➔</w:t>
      </w:r>
      <w:r w:rsidRPr="00EC1AD3">
        <w:rPr>
          <w:rFonts w:ascii="Times New Roman" w:hAnsi="Times New Roman" w:cs="Times New Roman"/>
        </w:rPr>
        <w:t xml:space="preserve"> Stir until clear solution</w:t>
      </w:r>
    </w:p>
    <w:p w14:paraId="03F2BCC0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                                       │</w:t>
      </w:r>
    </w:p>
    <w:p w14:paraId="123FC707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                                      ▼</w:t>
      </w:r>
    </w:p>
    <w:p w14:paraId="33C310A4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[Phase C: Herbal Phase]</w:t>
      </w:r>
    </w:p>
    <w:p w14:paraId="5D6226CA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Phase B + Turmeric Extract + Glycerine + Sorbitol </w:t>
      </w:r>
      <w:r w:rsidRPr="00EC1AD3">
        <w:rPr>
          <w:rFonts w:cs="Times New Roman"/>
        </w:rPr>
        <w:t>➔</w:t>
      </w:r>
      <w:r w:rsidRPr="00EC1AD3">
        <w:rPr>
          <w:rFonts w:ascii="Times New Roman" w:hAnsi="Times New Roman" w:cs="Times New Roman"/>
        </w:rPr>
        <w:t xml:space="preserve"> Homogenize solution</w:t>
      </w:r>
    </w:p>
    <w:p w14:paraId="1976EA9A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                                       │</w:t>
      </w:r>
    </w:p>
    <w:p w14:paraId="0212D9E9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                                      ▼</w:t>
      </w:r>
    </w:p>
    <w:p w14:paraId="283E6975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[Phase D: Blending &amp; Neutralization]</w:t>
      </w:r>
    </w:p>
    <w:p w14:paraId="7D606E9E" w14:textId="77777777" w:rsidR="00BE218F" w:rsidRPr="00EC1AD3" w:rsidRDefault="00BE218F" w:rsidP="00BA34AC">
      <w:pPr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Combine Phase A, Phase B&amp; Phase C </w:t>
      </w:r>
      <w:r w:rsidRPr="00EC1AD3">
        <w:rPr>
          <w:rFonts w:cs="Times New Roman"/>
        </w:rPr>
        <w:t>➔</w:t>
      </w:r>
      <w:r w:rsidRPr="00EC1AD3">
        <w:rPr>
          <w:rFonts w:ascii="Times New Roman" w:hAnsi="Times New Roman" w:cs="Times New Roman"/>
        </w:rPr>
        <w:t xml:space="preserve"> Add TEA dropwise under continuous slow agitation </w:t>
      </w:r>
      <w:r w:rsidRPr="00EC1AD3">
        <w:rPr>
          <w:rFonts w:cs="Times New Roman"/>
        </w:rPr>
        <w:t>➔</w:t>
      </w:r>
      <w:r w:rsidRPr="00EC1AD3">
        <w:rPr>
          <w:rFonts w:ascii="Times New Roman" w:hAnsi="Times New Roman" w:cs="Times New Roman"/>
        </w:rPr>
        <w:t xml:space="preserve"> Gel Formation</w:t>
      </w:r>
    </w:p>
    <w:p w14:paraId="77808E51" w14:textId="77777777" w:rsidR="00BE218F" w:rsidRPr="00EC1AD3" w:rsidRDefault="00BE218F" w:rsidP="00BA34AC">
      <w:pPr>
        <w:rPr>
          <w:rFonts w:ascii="Times New Roman" w:hAnsi="Times New Roman" w:cs="Times New Roman"/>
        </w:rPr>
      </w:pPr>
    </w:p>
    <w:p w14:paraId="19E0C16C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EC1AD3">
        <w:rPr>
          <w:rFonts w:ascii="Times New Roman" w:hAnsi="Times New Roman" w:cs="Times New Roman"/>
          <w:b/>
          <w:bCs/>
        </w:rPr>
        <w:t xml:space="preserve">PROCEDURE: - </w:t>
      </w:r>
    </w:p>
    <w:p w14:paraId="5E6919C9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Phase A</w:t>
      </w:r>
      <w:r w:rsidRPr="00EC1AD3">
        <w:rPr>
          <w:rFonts w:ascii="Times New Roman" w:hAnsi="Times New Roman" w:cs="Times New Roman"/>
        </w:rPr>
        <w:t xml:space="preserve"> (Polymer Dispersion): Carbopol 940 was sprinkled uniformly over warm Purified Water and allowed to swell overnight to ensure complete hydration without clump formation</w:t>
      </w:r>
      <w:r w:rsidRPr="00EC1AD3">
        <w:rPr>
          <w:rFonts w:ascii="Times New Roman" w:hAnsi="Times New Roman" w:cs="Times New Roman"/>
          <w:vertAlign w:val="superscript"/>
        </w:rPr>
        <w:t xml:space="preserve"> [1, 2]</w:t>
      </w:r>
      <w:r w:rsidRPr="00EC1AD3">
        <w:rPr>
          <w:rFonts w:ascii="Times New Roman" w:hAnsi="Times New Roman" w:cs="Times New Roman"/>
        </w:rPr>
        <w:t>.</w:t>
      </w:r>
    </w:p>
    <w:p w14:paraId="010F0DCA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Phase B</w:t>
      </w:r>
      <w:r w:rsidRPr="00EC1AD3">
        <w:rPr>
          <w:rFonts w:ascii="Times New Roman" w:hAnsi="Times New Roman" w:cs="Times New Roman"/>
        </w:rPr>
        <w:t xml:space="preserve"> (Active Solubilization): Salicylic Acid was dissolved in a blend of Propylene Glycol and Methyl Propylene Glycol under mild agitation until a clear, particle-free solution was obtained</w:t>
      </w:r>
      <w:r w:rsidRPr="00EC1AD3">
        <w:rPr>
          <w:rFonts w:ascii="Times New Roman" w:hAnsi="Times New Roman" w:cs="Times New Roman"/>
          <w:vertAlign w:val="superscript"/>
        </w:rPr>
        <w:t>[1,2]</w:t>
      </w:r>
      <w:r w:rsidRPr="00EC1AD3">
        <w:rPr>
          <w:rFonts w:ascii="Times New Roman" w:hAnsi="Times New Roman" w:cs="Times New Roman"/>
        </w:rPr>
        <w:t>.</w:t>
      </w:r>
    </w:p>
    <w:p w14:paraId="3990A2B9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Phase C</w:t>
      </w:r>
      <w:r w:rsidRPr="00EC1AD3">
        <w:rPr>
          <w:rFonts w:ascii="Times New Roman" w:hAnsi="Times New Roman" w:cs="Times New Roman"/>
        </w:rPr>
        <w:t xml:space="preserve"> (Botanical Blend): Turmeric Extract, Glycerin, and Sorbitol were incorporated into </w:t>
      </w:r>
    </w:p>
    <w:p w14:paraId="7CBF70B7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Phase B and stirred until homogeneous. </w:t>
      </w:r>
      <w:r w:rsidRPr="00EC1AD3">
        <w:rPr>
          <w:rFonts w:ascii="Times New Roman" w:hAnsi="Times New Roman" w:cs="Times New Roman"/>
          <w:vertAlign w:val="superscript"/>
        </w:rPr>
        <w:t>[2,3]</w:t>
      </w:r>
      <w:r w:rsidRPr="00EC1AD3">
        <w:rPr>
          <w:rFonts w:ascii="Times New Roman" w:hAnsi="Times New Roman" w:cs="Times New Roman"/>
        </w:rPr>
        <w:t>.</w:t>
      </w:r>
    </w:p>
    <w:p w14:paraId="57541C28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Phase D</w:t>
      </w:r>
      <w:r w:rsidRPr="00EC1AD3">
        <w:rPr>
          <w:rFonts w:ascii="Times New Roman" w:hAnsi="Times New Roman" w:cs="Times New Roman"/>
        </w:rPr>
        <w:t xml:space="preserve"> (Gel Cross-linking): Phase C was slowly poured into Phase A with constant, low-shear mechanical stirring to avoid air entrapment</w:t>
      </w:r>
      <w:r w:rsidRPr="00EC1AD3">
        <w:rPr>
          <w:rFonts w:ascii="Times New Roman" w:hAnsi="Times New Roman" w:cs="Times New Roman"/>
          <w:vertAlign w:val="superscript"/>
        </w:rPr>
        <w:t xml:space="preserve"> [1]</w:t>
      </w:r>
      <w:r w:rsidRPr="00EC1AD3">
        <w:rPr>
          <w:rFonts w:ascii="Times New Roman" w:hAnsi="Times New Roman" w:cs="Times New Roman"/>
        </w:rPr>
        <w:t>.</w:t>
      </w:r>
    </w:p>
    <w:p w14:paraId="50C91827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Neutralization</w:t>
      </w:r>
      <w:r w:rsidRPr="00EC1AD3">
        <w:rPr>
          <w:rFonts w:ascii="Times New Roman" w:hAnsi="Times New Roman" w:cs="Times New Roman"/>
        </w:rPr>
        <w:t>: Triethanolamine (TEA) was added dropwise to induce polymer neutralization, converting the liquid phase into a coherent, viscous hydrogel.</w:t>
      </w:r>
      <w:r w:rsidRPr="00EC1AD3">
        <w:rPr>
          <w:rFonts w:ascii="Times New Roman" w:hAnsi="Times New Roman" w:cs="Times New Roman"/>
          <w:vertAlign w:val="superscript"/>
        </w:rPr>
        <w:t>[1,2]</w:t>
      </w:r>
      <w:r w:rsidRPr="00EC1AD3">
        <w:rPr>
          <w:rFonts w:ascii="Times New Roman" w:hAnsi="Times New Roman" w:cs="Times New Roman"/>
        </w:rPr>
        <w:t>.</w:t>
      </w:r>
    </w:p>
    <w:p w14:paraId="4DB0600B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Optimization Strategy (3 Batches)</w:t>
      </w:r>
    </w:p>
    <w:p w14:paraId="0261519A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​Batch F1 (Low Polymer - 0.3%): Yielded an under-cross linked fluid system with low viscosity and high runnability</w:t>
      </w:r>
      <w:r w:rsidRPr="00EC1AD3">
        <w:rPr>
          <w:rFonts w:ascii="Times New Roman" w:hAnsi="Times New Roman" w:cs="Times New Roman"/>
          <w:vertAlign w:val="superscript"/>
        </w:rPr>
        <w:t xml:space="preserve"> [1]</w:t>
      </w:r>
      <w:r w:rsidRPr="00EC1AD3">
        <w:rPr>
          <w:rFonts w:ascii="Times New Roman" w:hAnsi="Times New Roman" w:cs="Times New Roman"/>
        </w:rPr>
        <w:t>.</w:t>
      </w:r>
    </w:p>
    <w:p w14:paraId="6A843EFC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​Batch F2 (High Polymer - 0.5% + High TEA): Resulted in an excessively rigid gel network with high alkaline pH (&gt; 7.2), which compromises salicylic acid bioavailability and causes skin irritation</w:t>
      </w:r>
      <w:r w:rsidRPr="00EC1AD3">
        <w:rPr>
          <w:rFonts w:ascii="Times New Roman" w:hAnsi="Times New Roman" w:cs="Times New Roman"/>
          <w:vertAlign w:val="superscript"/>
        </w:rPr>
        <w:t>[1,4]</w:t>
      </w:r>
      <w:r w:rsidRPr="00EC1AD3">
        <w:rPr>
          <w:rFonts w:ascii="Times New Roman" w:hAnsi="Times New Roman" w:cs="Times New Roman"/>
        </w:rPr>
        <w:t>.</w:t>
      </w:r>
    </w:p>
    <w:p w14:paraId="6E7132AC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​Batch F3 (Optimized Formulation - 0.4% Carbopol + Controlled TEA): Achieved an ideal yield value, optimal spread ability, smooth texture, and skin-compatible pH (5.8).</w:t>
      </w:r>
      <w:r w:rsidRPr="00EC1AD3">
        <w:rPr>
          <w:rFonts w:ascii="Times New Roman" w:hAnsi="Times New Roman" w:cs="Times New Roman"/>
          <w:vertAlign w:val="superscript"/>
        </w:rPr>
        <w:t xml:space="preserve"> [1,4]</w:t>
      </w:r>
      <w:r w:rsidRPr="00EC1AD3">
        <w:rPr>
          <w:rFonts w:ascii="Times New Roman" w:hAnsi="Times New Roman" w:cs="Times New Roman"/>
        </w:rPr>
        <w:t>.</w:t>
      </w:r>
    </w:p>
    <w:p w14:paraId="07B1DB43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  <w:bCs/>
        </w:rPr>
        <w:t>4. EVALUATION AND ANALYSIS OF FORMULATION</w:t>
      </w:r>
    </w:p>
    <w:p w14:paraId="4D3546AC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​The optimized Batch F3 was evaluated across physical, chemical, and functional metrics alongside a standard commercial 2% salicylic acid gel (Control)</w:t>
      </w:r>
      <w:r w:rsidRPr="00EC1AD3">
        <w:rPr>
          <w:rFonts w:ascii="Times New Roman" w:hAnsi="Times New Roman" w:cs="Times New Roman"/>
          <w:vertAlign w:val="superscript"/>
        </w:rPr>
        <w:t>[1,4]</w:t>
      </w:r>
      <w:r w:rsidRPr="00EC1AD3">
        <w:rPr>
          <w:rFonts w:ascii="Times New Roman" w:hAnsi="Times New Roman" w:cs="Times New Roman"/>
        </w:rPr>
        <w:t>.</w:t>
      </w:r>
    </w:p>
    <w:p w14:paraId="0FE50A35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Evaluation Protocol &amp; Results Matrix</w:t>
      </w:r>
    </w:p>
    <w:p w14:paraId="60C53EEF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A0C530F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</w:p>
    <w:p w14:paraId="15DB2012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126A202B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pPr w:leftFromText="180" w:rightFromText="180" w:vertAnchor="page" w:horzAnchor="margin" w:tblpXSpec="center" w:tblpY="1756"/>
        <w:tblW w:w="9016" w:type="dxa"/>
        <w:tblLook w:val="04A0" w:firstRow="1" w:lastRow="0" w:firstColumn="1" w:lastColumn="0" w:noHBand="0" w:noVBand="1"/>
      </w:tblPr>
      <w:tblGrid>
        <w:gridCol w:w="1730"/>
        <w:gridCol w:w="2142"/>
        <w:gridCol w:w="1701"/>
        <w:gridCol w:w="1686"/>
        <w:gridCol w:w="1757"/>
      </w:tblGrid>
      <w:tr w:rsidR="00BE218F" w:rsidRPr="00EC1AD3" w14:paraId="48760BC0" w14:textId="77777777" w:rsidTr="00BA34AC">
        <w:trPr>
          <w:trHeight w:val="877"/>
        </w:trPr>
        <w:tc>
          <w:tcPr>
            <w:tcW w:w="1730" w:type="dxa"/>
            <w:vAlign w:val="center"/>
          </w:tcPr>
          <w:p w14:paraId="787E95D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2142" w:type="dxa"/>
            <w:vAlign w:val="center"/>
          </w:tcPr>
          <w:p w14:paraId="2B47D072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Standard Parameters / Acceptance Criteria</w:t>
            </w:r>
          </w:p>
        </w:tc>
        <w:tc>
          <w:tcPr>
            <w:tcW w:w="1701" w:type="dxa"/>
            <w:vAlign w:val="center"/>
          </w:tcPr>
          <w:p w14:paraId="7D146FD1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Test method/ apparatus</w:t>
            </w:r>
          </w:p>
        </w:tc>
        <w:tc>
          <w:tcPr>
            <w:tcW w:w="1686" w:type="dxa"/>
            <w:vAlign w:val="center"/>
          </w:tcPr>
          <w:p w14:paraId="14128CEE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Batch F3</w:t>
            </w:r>
          </w:p>
          <w:p w14:paraId="26B53E6F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(Optimized)</w:t>
            </w:r>
          </w:p>
        </w:tc>
        <w:tc>
          <w:tcPr>
            <w:tcW w:w="1757" w:type="dxa"/>
            <w:vAlign w:val="center"/>
          </w:tcPr>
          <w:p w14:paraId="1228F61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Marketed product (control)</w:t>
            </w:r>
          </w:p>
        </w:tc>
      </w:tr>
      <w:tr w:rsidR="00BE218F" w:rsidRPr="00EC1AD3" w14:paraId="1C68E070" w14:textId="77777777" w:rsidTr="00BA34AC">
        <w:trPr>
          <w:trHeight w:val="638"/>
        </w:trPr>
        <w:tc>
          <w:tcPr>
            <w:tcW w:w="1730" w:type="dxa"/>
            <w:vAlign w:val="center"/>
          </w:tcPr>
          <w:p w14:paraId="73ADA973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Appearance 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[1]</w:t>
            </w:r>
          </w:p>
        </w:tc>
        <w:tc>
          <w:tcPr>
            <w:tcW w:w="2142" w:type="dxa"/>
            <w:vAlign w:val="center"/>
          </w:tcPr>
          <w:p w14:paraId="684AA5C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Smooth, homogeneous gel matrix</w:t>
            </w:r>
          </w:p>
        </w:tc>
        <w:tc>
          <w:tcPr>
            <w:tcW w:w="1701" w:type="dxa"/>
            <w:vAlign w:val="center"/>
          </w:tcPr>
          <w:p w14:paraId="12C686A8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Visual inspection under white light background</w:t>
            </w:r>
          </w:p>
        </w:tc>
        <w:tc>
          <w:tcPr>
            <w:tcW w:w="1686" w:type="dxa"/>
            <w:vAlign w:val="center"/>
          </w:tcPr>
          <w:p w14:paraId="652899D2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Translucent, smooth hydrogel</w:t>
            </w:r>
          </w:p>
        </w:tc>
        <w:tc>
          <w:tcPr>
            <w:tcW w:w="1757" w:type="dxa"/>
            <w:vAlign w:val="center"/>
          </w:tcPr>
          <w:p w14:paraId="61A1EF5E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Clear, transparent gel</w:t>
            </w:r>
          </w:p>
        </w:tc>
      </w:tr>
      <w:tr w:rsidR="00BE218F" w:rsidRPr="00EC1AD3" w14:paraId="6CC79FA7" w14:textId="77777777" w:rsidTr="00BA34AC">
        <w:trPr>
          <w:trHeight w:val="296"/>
        </w:trPr>
        <w:tc>
          <w:tcPr>
            <w:tcW w:w="1730" w:type="dxa"/>
            <w:vAlign w:val="center"/>
          </w:tcPr>
          <w:p w14:paraId="7E76E2C1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Clarity 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[1]</w:t>
            </w:r>
          </w:p>
        </w:tc>
        <w:tc>
          <w:tcPr>
            <w:tcW w:w="2142" w:type="dxa"/>
            <w:vAlign w:val="center"/>
          </w:tcPr>
          <w:p w14:paraId="31E5FD8D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Clear to translucent; absence of turbidity/precipitate</w:t>
            </w:r>
          </w:p>
        </w:tc>
        <w:tc>
          <w:tcPr>
            <w:tcW w:w="1701" w:type="dxa"/>
            <w:vAlign w:val="center"/>
          </w:tcPr>
          <w:p w14:paraId="5F3CD23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Direct light transmission check</w:t>
            </w:r>
          </w:p>
        </w:tc>
        <w:tc>
          <w:tcPr>
            <w:tcW w:w="1686" w:type="dxa"/>
            <w:vAlign w:val="center"/>
          </w:tcPr>
          <w:p w14:paraId="3B59EA44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Semi-transparent (herbal tint)</w:t>
            </w:r>
          </w:p>
        </w:tc>
        <w:tc>
          <w:tcPr>
            <w:tcW w:w="1757" w:type="dxa"/>
            <w:vAlign w:val="center"/>
          </w:tcPr>
          <w:p w14:paraId="037CFB7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Transparent</w:t>
            </w:r>
          </w:p>
        </w:tc>
      </w:tr>
      <w:tr w:rsidR="00BE218F" w:rsidRPr="00EC1AD3" w14:paraId="6F3BEEB5" w14:textId="77777777" w:rsidTr="00BA34AC">
        <w:trPr>
          <w:trHeight w:val="285"/>
        </w:trPr>
        <w:tc>
          <w:tcPr>
            <w:tcW w:w="1730" w:type="dxa"/>
            <w:vAlign w:val="center"/>
          </w:tcPr>
          <w:p w14:paraId="4144B5F1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Odour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[4]</w:t>
            </w:r>
          </w:p>
        </w:tc>
        <w:tc>
          <w:tcPr>
            <w:tcW w:w="2142" w:type="dxa"/>
            <w:vAlign w:val="center"/>
          </w:tcPr>
          <w:p w14:paraId="0404A42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Pleasant or characteristic herbal scent; free from rancidity</w:t>
            </w:r>
          </w:p>
        </w:tc>
        <w:tc>
          <w:tcPr>
            <w:tcW w:w="1701" w:type="dxa"/>
            <w:vAlign w:val="center"/>
          </w:tcPr>
          <w:p w14:paraId="411A88EB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Olfactory sensory assessment</w:t>
            </w:r>
          </w:p>
        </w:tc>
        <w:tc>
          <w:tcPr>
            <w:tcW w:w="1686" w:type="dxa"/>
            <w:vAlign w:val="center"/>
          </w:tcPr>
          <w:p w14:paraId="320378E9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Characteristic mild turmeric scent</w:t>
            </w:r>
          </w:p>
        </w:tc>
        <w:tc>
          <w:tcPr>
            <w:tcW w:w="1757" w:type="dxa"/>
            <w:vAlign w:val="center"/>
          </w:tcPr>
          <w:p w14:paraId="4A425ECE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Synthetic fragrance</w:t>
            </w:r>
          </w:p>
        </w:tc>
      </w:tr>
      <w:tr w:rsidR="00BE218F" w:rsidRPr="00EC1AD3" w14:paraId="1CD1F832" w14:textId="77777777" w:rsidTr="00BA34AC">
        <w:trPr>
          <w:trHeight w:val="296"/>
        </w:trPr>
        <w:tc>
          <w:tcPr>
            <w:tcW w:w="1730" w:type="dxa"/>
            <w:vAlign w:val="center"/>
          </w:tcPr>
          <w:p w14:paraId="694188D7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Colour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[4]</w:t>
            </w:r>
          </w:p>
        </w:tc>
        <w:tc>
          <w:tcPr>
            <w:tcW w:w="2142" w:type="dxa"/>
            <w:vAlign w:val="center"/>
          </w:tcPr>
          <w:p w14:paraId="122BA05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Pleasant or characteristic herbal scent; free from rancidity</w:t>
            </w:r>
          </w:p>
        </w:tc>
        <w:tc>
          <w:tcPr>
            <w:tcW w:w="1701" w:type="dxa"/>
            <w:vAlign w:val="center"/>
          </w:tcPr>
          <w:p w14:paraId="2EB1C85F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Visual comparison against colour chart</w:t>
            </w:r>
          </w:p>
        </w:tc>
        <w:tc>
          <w:tcPr>
            <w:tcW w:w="1686" w:type="dxa"/>
            <w:vAlign w:val="center"/>
          </w:tcPr>
          <w:p w14:paraId="7560BDE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Golden yellow to light orange</w:t>
            </w:r>
          </w:p>
        </w:tc>
        <w:tc>
          <w:tcPr>
            <w:tcW w:w="1757" w:type="dxa"/>
            <w:vAlign w:val="center"/>
          </w:tcPr>
          <w:p w14:paraId="1B621525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Colorless / Off-white</w:t>
            </w:r>
          </w:p>
        </w:tc>
      </w:tr>
      <w:tr w:rsidR="00BE218F" w:rsidRPr="00EC1AD3" w14:paraId="619B083D" w14:textId="77777777" w:rsidTr="00BA34AC">
        <w:trPr>
          <w:trHeight w:val="285"/>
        </w:trPr>
        <w:tc>
          <w:tcPr>
            <w:tcW w:w="1730" w:type="dxa"/>
            <w:vAlign w:val="center"/>
          </w:tcPr>
          <w:p w14:paraId="3E2B6224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Uniformity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[1]</w:t>
            </w:r>
          </w:p>
        </w:tc>
        <w:tc>
          <w:tcPr>
            <w:tcW w:w="2142" w:type="dxa"/>
            <w:vAlign w:val="center"/>
          </w:tcPr>
          <w:p w14:paraId="2160DFF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Uniform characteristic colour corresponding to active extracts</w:t>
            </w:r>
          </w:p>
        </w:tc>
        <w:tc>
          <w:tcPr>
            <w:tcW w:w="1701" w:type="dxa"/>
            <w:vAlign w:val="center"/>
          </w:tcPr>
          <w:p w14:paraId="1C7CB4E4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Visual check across top, middle, bottom layers</w:t>
            </w:r>
          </w:p>
        </w:tc>
        <w:tc>
          <w:tcPr>
            <w:tcW w:w="1686" w:type="dxa"/>
            <w:vAlign w:val="center"/>
          </w:tcPr>
          <w:p w14:paraId="77343E1B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Highly uniform</w:t>
            </w:r>
          </w:p>
        </w:tc>
        <w:tc>
          <w:tcPr>
            <w:tcW w:w="1757" w:type="dxa"/>
            <w:vAlign w:val="center"/>
          </w:tcPr>
          <w:p w14:paraId="2A3F834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Highly uniform</w:t>
            </w:r>
          </w:p>
        </w:tc>
      </w:tr>
      <w:tr w:rsidR="00BE218F" w:rsidRPr="00EC1AD3" w14:paraId="28A602CD" w14:textId="77777777" w:rsidTr="00BA34AC">
        <w:trPr>
          <w:trHeight w:val="581"/>
        </w:trPr>
        <w:tc>
          <w:tcPr>
            <w:tcW w:w="1730" w:type="dxa"/>
            <w:vAlign w:val="center"/>
          </w:tcPr>
          <w:p w14:paraId="1397EBC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Presence of particles 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[1]</w:t>
            </w:r>
          </w:p>
        </w:tc>
        <w:tc>
          <w:tcPr>
            <w:tcW w:w="2142" w:type="dxa"/>
            <w:vAlign w:val="center"/>
          </w:tcPr>
          <w:p w14:paraId="463CB5B7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Consistent texture throughout whole batch</w:t>
            </w:r>
          </w:p>
        </w:tc>
        <w:tc>
          <w:tcPr>
            <w:tcW w:w="1701" w:type="dxa"/>
            <w:vAlign w:val="center"/>
          </w:tcPr>
          <w:p w14:paraId="2213FC75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Light microscope examination (10x)</w:t>
            </w:r>
          </w:p>
        </w:tc>
        <w:tc>
          <w:tcPr>
            <w:tcW w:w="1686" w:type="dxa"/>
            <w:vAlign w:val="center"/>
          </w:tcPr>
          <w:p w14:paraId="73C8D93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Free of gritty particles</w:t>
            </w:r>
          </w:p>
        </w:tc>
        <w:tc>
          <w:tcPr>
            <w:tcW w:w="1757" w:type="dxa"/>
            <w:vAlign w:val="center"/>
          </w:tcPr>
          <w:p w14:paraId="7B41DC1B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Free of particles</w:t>
            </w:r>
          </w:p>
        </w:tc>
      </w:tr>
      <w:tr w:rsidR="00BE218F" w:rsidRPr="00EC1AD3" w14:paraId="177C77BC" w14:textId="77777777" w:rsidTr="00BA34AC">
        <w:trPr>
          <w:trHeight w:val="296"/>
        </w:trPr>
        <w:tc>
          <w:tcPr>
            <w:tcW w:w="1730" w:type="dxa"/>
            <w:vAlign w:val="center"/>
          </w:tcPr>
          <w:p w14:paraId="03C64A38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Lumps 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[1]</w:t>
            </w:r>
          </w:p>
        </w:tc>
        <w:tc>
          <w:tcPr>
            <w:tcW w:w="2142" w:type="dxa"/>
            <w:vAlign w:val="center"/>
          </w:tcPr>
          <w:p w14:paraId="6919EE5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Complete absence of agglomerates or unswollen polymer lumps</w:t>
            </w:r>
          </w:p>
          <w:p w14:paraId="22D9F2C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1E42737D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Smear test between two glass plates</w:t>
            </w:r>
          </w:p>
        </w:tc>
        <w:tc>
          <w:tcPr>
            <w:tcW w:w="1686" w:type="dxa"/>
            <w:vAlign w:val="center"/>
          </w:tcPr>
          <w:p w14:paraId="76553DAD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No lump formation observed</w:t>
            </w:r>
          </w:p>
        </w:tc>
        <w:tc>
          <w:tcPr>
            <w:tcW w:w="1757" w:type="dxa"/>
            <w:vAlign w:val="center"/>
          </w:tcPr>
          <w:p w14:paraId="3F2C09B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No lump formation observed</w:t>
            </w:r>
          </w:p>
        </w:tc>
      </w:tr>
      <w:tr w:rsidR="00BE218F" w:rsidRPr="00EC1AD3" w14:paraId="65047DF5" w14:textId="77777777" w:rsidTr="00BA34AC">
        <w:trPr>
          <w:trHeight w:val="296"/>
        </w:trPr>
        <w:tc>
          <w:tcPr>
            <w:tcW w:w="1730" w:type="dxa"/>
            <w:vAlign w:val="center"/>
          </w:tcPr>
          <w:p w14:paraId="1D0A362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Phase separation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[1]</w:t>
            </w:r>
          </w:p>
        </w:tc>
        <w:tc>
          <w:tcPr>
            <w:tcW w:w="2142" w:type="dxa"/>
            <w:vAlign w:val="center"/>
          </w:tcPr>
          <w:p w14:paraId="2BCB206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Stable gel structure; 0% liquid phase separation</w:t>
            </w:r>
          </w:p>
          <w:p w14:paraId="2AA6BA6E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594ACB7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Centrifugation test (3000 rpm, 30 min)</w:t>
            </w:r>
          </w:p>
        </w:tc>
        <w:tc>
          <w:tcPr>
            <w:tcW w:w="1686" w:type="dxa"/>
            <w:vAlign w:val="center"/>
          </w:tcPr>
          <w:p w14:paraId="256CE608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Stable; 0% phase separation</w:t>
            </w:r>
          </w:p>
        </w:tc>
        <w:tc>
          <w:tcPr>
            <w:tcW w:w="1757" w:type="dxa"/>
            <w:vAlign w:val="center"/>
          </w:tcPr>
          <w:p w14:paraId="5DC18B29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Stable; 0% phase separation</w:t>
            </w:r>
          </w:p>
        </w:tc>
      </w:tr>
      <w:tr w:rsidR="00BE218F" w:rsidRPr="00EC1AD3" w14:paraId="43565012" w14:textId="77777777" w:rsidTr="00BA34AC">
        <w:trPr>
          <w:trHeight w:val="285"/>
        </w:trPr>
        <w:tc>
          <w:tcPr>
            <w:tcW w:w="1730" w:type="dxa"/>
            <w:vAlign w:val="center"/>
          </w:tcPr>
          <w:p w14:paraId="78610694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pH value 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[4]</w:t>
            </w:r>
          </w:p>
        </w:tc>
        <w:tc>
          <w:tcPr>
            <w:tcW w:w="2142" w:type="dxa"/>
            <w:vAlign w:val="center"/>
          </w:tcPr>
          <w:p w14:paraId="3D464F28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Skin-compatible range: 4.5 – 6.5</w:t>
            </w:r>
          </w:p>
        </w:tc>
        <w:tc>
          <w:tcPr>
            <w:tcW w:w="1701" w:type="dxa"/>
            <w:vAlign w:val="center"/>
          </w:tcPr>
          <w:p w14:paraId="4D5780E1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 xml:space="preserve">Digital calibrated pH meter </w:t>
            </w:r>
            <w:r w:rsidRPr="00EC1AD3">
              <w:rPr>
                <w:rFonts w:ascii="Times New Roman" w:hAnsi="Times New Roman" w:cs="Times New Roman"/>
                <w:vertAlign w:val="superscript"/>
              </w:rPr>
              <w:t>(2</w:t>
            </w:r>
            <w:r w:rsidRPr="00EC1AD3">
              <w:rPr>
                <w:rFonts w:ascii="Times New Roman" w:hAnsi="Times New Roman" w:cs="Times New Roman"/>
              </w:rPr>
              <w:t>5° C )</w:t>
            </w:r>
          </w:p>
        </w:tc>
        <w:tc>
          <w:tcPr>
            <w:tcW w:w="1686" w:type="dxa"/>
            <w:vAlign w:val="center"/>
          </w:tcPr>
          <w:p w14:paraId="30F81F4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5.80 ± 0.15</w:t>
            </w:r>
          </w:p>
        </w:tc>
        <w:tc>
          <w:tcPr>
            <w:tcW w:w="1757" w:type="dxa"/>
            <w:vAlign w:val="center"/>
          </w:tcPr>
          <w:p w14:paraId="39D534C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5.50 ± 0.10</w:t>
            </w:r>
          </w:p>
        </w:tc>
      </w:tr>
      <w:tr w:rsidR="00BE218F" w:rsidRPr="00EC1AD3" w14:paraId="7BBEF780" w14:textId="77777777" w:rsidTr="00BA34AC">
        <w:trPr>
          <w:trHeight w:val="296"/>
        </w:trPr>
        <w:tc>
          <w:tcPr>
            <w:tcW w:w="1730" w:type="dxa"/>
            <w:vAlign w:val="center"/>
          </w:tcPr>
          <w:p w14:paraId="614A8898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Viscosity 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[1]</w:t>
            </w:r>
          </w:p>
        </w:tc>
        <w:tc>
          <w:tcPr>
            <w:tcW w:w="2142" w:type="dxa"/>
            <w:vAlign w:val="center"/>
          </w:tcPr>
          <w:p w14:paraId="0367290E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 xml:space="preserve">Target cosmetic range: 15,000 – 30,000 </w:t>
            </w:r>
            <w:proofErr w:type="spellStart"/>
            <w:r w:rsidRPr="00EC1AD3">
              <w:rPr>
                <w:rFonts w:ascii="Times New Roman" w:hAnsi="Times New Roman" w:cs="Times New Roman"/>
              </w:rPr>
              <w:t>cP</w:t>
            </w:r>
            <w:proofErr w:type="spellEnd"/>
          </w:p>
        </w:tc>
        <w:tc>
          <w:tcPr>
            <w:tcW w:w="1701" w:type="dxa"/>
            <w:vAlign w:val="center"/>
          </w:tcPr>
          <w:p w14:paraId="279EBEE7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Brookfield Viscometer (Spindle 6, 20 rpm)</w:t>
            </w:r>
          </w:p>
        </w:tc>
        <w:tc>
          <w:tcPr>
            <w:tcW w:w="1686" w:type="dxa"/>
            <w:vAlign w:val="center"/>
          </w:tcPr>
          <w:p w14:paraId="100E5BF8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 xml:space="preserve">21,400 ± 350 </w:t>
            </w:r>
            <w:proofErr w:type="spellStart"/>
            <w:r w:rsidRPr="00EC1AD3">
              <w:rPr>
                <w:rFonts w:ascii="Times New Roman" w:hAnsi="Times New Roman" w:cs="Times New Roman"/>
              </w:rPr>
              <w:t>cP</w:t>
            </w:r>
            <w:proofErr w:type="spellEnd"/>
          </w:p>
        </w:tc>
        <w:tc>
          <w:tcPr>
            <w:tcW w:w="1757" w:type="dxa"/>
            <w:vAlign w:val="center"/>
          </w:tcPr>
          <w:p w14:paraId="11EAE77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 xml:space="preserve">19,800 ± 200 </w:t>
            </w:r>
            <w:proofErr w:type="spellStart"/>
            <w:r w:rsidRPr="00EC1AD3">
              <w:rPr>
                <w:rFonts w:ascii="Times New Roman" w:hAnsi="Times New Roman" w:cs="Times New Roman"/>
              </w:rPr>
              <w:t>cP</w:t>
            </w:r>
            <w:proofErr w:type="spellEnd"/>
          </w:p>
        </w:tc>
      </w:tr>
      <w:tr w:rsidR="00BE218F" w:rsidRPr="00EC1AD3" w14:paraId="26DFF4E7" w14:textId="77777777" w:rsidTr="00BA34AC">
        <w:trPr>
          <w:trHeight w:val="285"/>
        </w:trPr>
        <w:tc>
          <w:tcPr>
            <w:tcW w:w="1730" w:type="dxa"/>
            <w:vAlign w:val="center"/>
          </w:tcPr>
          <w:p w14:paraId="6829F4F0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Spread ability 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[1]</w:t>
            </w:r>
          </w:p>
        </w:tc>
        <w:tc>
          <w:tcPr>
            <w:tcW w:w="2142" w:type="dxa"/>
            <w:vAlign w:val="center"/>
          </w:tcPr>
          <w:p w14:paraId="2CA69CBD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Range: 15 – 25 g·cm/s (Easily spreadable under minimal force)</w:t>
            </w:r>
          </w:p>
          <w:p w14:paraId="0ED7DAAD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09ECD46D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Parallel glass plate sliding method</w:t>
            </w:r>
          </w:p>
        </w:tc>
        <w:tc>
          <w:tcPr>
            <w:tcW w:w="1686" w:type="dxa"/>
            <w:vAlign w:val="center"/>
          </w:tcPr>
          <w:p w14:paraId="5D9E0834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18.75 g·cm/s</w:t>
            </w:r>
          </w:p>
        </w:tc>
        <w:tc>
          <w:tcPr>
            <w:tcW w:w="1757" w:type="dxa"/>
            <w:vAlign w:val="center"/>
          </w:tcPr>
          <w:p w14:paraId="12AD8BFC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19.40 g·cm/s</w:t>
            </w:r>
          </w:p>
        </w:tc>
      </w:tr>
      <w:tr w:rsidR="00BE218F" w:rsidRPr="00EC1AD3" w14:paraId="527DAC84" w14:textId="77777777" w:rsidTr="00BA34AC">
        <w:trPr>
          <w:trHeight w:val="296"/>
        </w:trPr>
        <w:tc>
          <w:tcPr>
            <w:tcW w:w="1730" w:type="dxa"/>
            <w:vAlign w:val="center"/>
          </w:tcPr>
          <w:p w14:paraId="78C2F7CA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 xml:space="preserve">Homogeneity 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[1]</w:t>
            </w:r>
          </w:p>
        </w:tc>
        <w:tc>
          <w:tcPr>
            <w:tcW w:w="2142" w:type="dxa"/>
            <w:vAlign w:val="center"/>
          </w:tcPr>
          <w:p w14:paraId="6AA8F139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Uniform film formation without streaks or voids</w:t>
            </w:r>
          </w:p>
        </w:tc>
        <w:tc>
          <w:tcPr>
            <w:tcW w:w="1701" w:type="dxa"/>
            <w:vAlign w:val="center"/>
          </w:tcPr>
          <w:p w14:paraId="6E3B06AC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Tactile and visual slide test</w:t>
            </w:r>
          </w:p>
        </w:tc>
        <w:tc>
          <w:tcPr>
            <w:tcW w:w="1686" w:type="dxa"/>
            <w:vAlign w:val="center"/>
          </w:tcPr>
          <w:p w14:paraId="697BF50F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Complete surface homogeneity</w:t>
            </w:r>
          </w:p>
        </w:tc>
        <w:tc>
          <w:tcPr>
            <w:tcW w:w="1757" w:type="dxa"/>
            <w:vAlign w:val="center"/>
          </w:tcPr>
          <w:p w14:paraId="537534F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Complete surface homogeneity</w:t>
            </w:r>
          </w:p>
        </w:tc>
      </w:tr>
      <w:tr w:rsidR="00BE218F" w:rsidRPr="00EC1AD3" w14:paraId="33CB2CDD" w14:textId="77777777" w:rsidTr="00BA34AC">
        <w:trPr>
          <w:trHeight w:val="285"/>
        </w:trPr>
        <w:tc>
          <w:tcPr>
            <w:tcW w:w="1730" w:type="dxa"/>
            <w:vAlign w:val="center"/>
          </w:tcPr>
          <w:p w14:paraId="3A50140D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C1AD3">
              <w:rPr>
                <w:rFonts w:ascii="Times New Roman" w:hAnsi="Times New Roman" w:cs="Times New Roman"/>
                <w:b/>
                <w:bCs/>
              </w:rPr>
              <w:t>Skin feels</w:t>
            </w:r>
            <w:r w:rsidRPr="00EC1AD3">
              <w:rPr>
                <w:rFonts w:ascii="Times New Roman" w:hAnsi="Times New Roman" w:cs="Times New Roman"/>
                <w:b/>
                <w:bCs/>
                <w:vertAlign w:val="superscript"/>
              </w:rPr>
              <w:t>[4]</w:t>
            </w:r>
          </w:p>
        </w:tc>
        <w:tc>
          <w:tcPr>
            <w:tcW w:w="2142" w:type="dxa"/>
            <w:vAlign w:val="center"/>
          </w:tcPr>
          <w:p w14:paraId="2D1E173B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Non-sticky, smooth, non-greasy, cooling post-application</w:t>
            </w:r>
          </w:p>
        </w:tc>
        <w:tc>
          <w:tcPr>
            <w:tcW w:w="1701" w:type="dxa"/>
            <w:vAlign w:val="center"/>
          </w:tcPr>
          <w:p w14:paraId="766E0A79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Human panel patch evaluation (n=5)</w:t>
            </w:r>
          </w:p>
        </w:tc>
        <w:tc>
          <w:tcPr>
            <w:tcW w:w="1686" w:type="dxa"/>
            <w:vAlign w:val="center"/>
          </w:tcPr>
          <w:p w14:paraId="7694AE34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Non-sticky, cooling, moisturizing</w:t>
            </w:r>
          </w:p>
          <w:p w14:paraId="40EBF076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7" w:type="dxa"/>
            <w:vAlign w:val="center"/>
          </w:tcPr>
          <w:p w14:paraId="3674A42D" w14:textId="77777777" w:rsidR="00BE218F" w:rsidRPr="00EC1AD3" w:rsidRDefault="00BE218F" w:rsidP="00BA34AC">
            <w:pPr>
              <w:jc w:val="center"/>
              <w:rPr>
                <w:rFonts w:ascii="Times New Roman" w:hAnsi="Times New Roman" w:cs="Times New Roman"/>
              </w:rPr>
            </w:pPr>
            <w:r w:rsidRPr="00EC1AD3">
              <w:rPr>
                <w:rFonts w:ascii="Times New Roman" w:hAnsi="Times New Roman" w:cs="Times New Roman"/>
              </w:rPr>
              <w:t>Slightly drying post-evaporation</w:t>
            </w:r>
          </w:p>
        </w:tc>
      </w:tr>
    </w:tbl>
    <w:p w14:paraId="1FC88613" w14:textId="77777777" w:rsidR="00B012AC" w:rsidRPr="00EC1AD3" w:rsidRDefault="00B012AC" w:rsidP="00BA34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83BD4A9" w14:textId="77777777" w:rsidR="00B012AC" w:rsidRPr="00EC1AD3" w:rsidRDefault="00B012AC" w:rsidP="00BA34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484DDF3" w14:textId="6ACC3C8D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1AD3">
        <w:rPr>
          <w:rFonts w:ascii="Times New Roman" w:hAnsi="Times New Roman" w:cs="Times New Roman"/>
          <w:b/>
          <w:bCs/>
        </w:rPr>
        <w:t>5. INTERPRETATION OF RESULTS AND DISCUSSION</w:t>
      </w:r>
    </w:p>
    <w:p w14:paraId="48436794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Solubilization Stability:</w:t>
      </w:r>
      <w:r w:rsidRPr="00EC1AD3">
        <w:rPr>
          <w:rFonts w:ascii="Times New Roman" w:hAnsi="Times New Roman" w:cs="Times New Roman"/>
        </w:rPr>
        <w:t xml:space="preserve"> Salicylic acid was successfully solubilized within the co-solvent blend (Propylene Glycol + Methyl Propylene Glycol)</w:t>
      </w:r>
      <w:r w:rsidRPr="00EC1AD3">
        <w:rPr>
          <w:rFonts w:ascii="Times New Roman" w:hAnsi="Times New Roman" w:cs="Times New Roman"/>
          <w:vertAlign w:val="superscript"/>
        </w:rPr>
        <w:t>[1,2]</w:t>
      </w:r>
      <w:r w:rsidRPr="00EC1AD3">
        <w:rPr>
          <w:rFonts w:ascii="Times New Roman" w:hAnsi="Times New Roman" w:cs="Times New Roman"/>
        </w:rPr>
        <w:t>.No crystalline precipitation was observed under polarized microscopy, confirming that the co-solvent system prevents active crystallization</w:t>
      </w:r>
      <w:r w:rsidRPr="00EC1AD3">
        <w:rPr>
          <w:rFonts w:ascii="Times New Roman" w:hAnsi="Times New Roman" w:cs="Times New Roman"/>
          <w:vertAlign w:val="superscript"/>
        </w:rPr>
        <w:t>[1]</w:t>
      </w:r>
      <w:r w:rsidRPr="00EC1AD3">
        <w:rPr>
          <w:rFonts w:ascii="Times New Roman" w:hAnsi="Times New Roman" w:cs="Times New Roman"/>
        </w:rPr>
        <w:t>.</w:t>
      </w:r>
    </w:p>
    <w:p w14:paraId="5CE96A5C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Rheology &amp; Spread ability:</w:t>
      </w:r>
      <w:r w:rsidRPr="00EC1AD3">
        <w:rPr>
          <w:rFonts w:ascii="Times New Roman" w:hAnsi="Times New Roman" w:cs="Times New Roman"/>
        </w:rPr>
        <w:t xml:space="preserve"> Batch F3 demonstrated pseudo plastic (shear-thinning) flow behaviour </w:t>
      </w:r>
      <w:r w:rsidRPr="00EC1AD3">
        <w:rPr>
          <w:rFonts w:ascii="Times New Roman" w:hAnsi="Times New Roman" w:cs="Times New Roman"/>
          <w:vertAlign w:val="superscript"/>
        </w:rPr>
        <w:t>[1]</w:t>
      </w:r>
      <w:r w:rsidRPr="00EC1AD3">
        <w:rPr>
          <w:rFonts w:ascii="Times New Roman" w:hAnsi="Times New Roman" w:cs="Times New Roman"/>
        </w:rPr>
        <w:t xml:space="preserve">.High viscosity at rest (21,400 </w:t>
      </w:r>
      <w:proofErr w:type="spellStart"/>
      <w:r w:rsidRPr="00EC1AD3">
        <w:rPr>
          <w:rFonts w:ascii="Times New Roman" w:hAnsi="Times New Roman" w:cs="Times New Roman"/>
        </w:rPr>
        <w:t>cP</w:t>
      </w:r>
      <w:proofErr w:type="spellEnd"/>
      <w:r w:rsidRPr="00EC1AD3">
        <w:rPr>
          <w:rFonts w:ascii="Times New Roman" w:hAnsi="Times New Roman" w:cs="Times New Roman"/>
        </w:rPr>
        <w:t>) prevents product leakage from packaging, while low viscosity under shear forces ensures smooth application on affected skin areas)</w:t>
      </w:r>
      <w:r w:rsidRPr="00EC1AD3">
        <w:rPr>
          <w:rFonts w:ascii="Times New Roman" w:hAnsi="Times New Roman" w:cs="Times New Roman"/>
          <w:vertAlign w:val="superscript"/>
        </w:rPr>
        <w:t>[1,4]</w:t>
      </w:r>
      <w:r w:rsidRPr="00EC1AD3">
        <w:rPr>
          <w:rFonts w:ascii="Times New Roman" w:hAnsi="Times New Roman" w:cs="Times New Roman"/>
        </w:rPr>
        <w:t>.</w:t>
      </w:r>
    </w:p>
    <w:p w14:paraId="01A24436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pH Compatibility</w:t>
      </w:r>
      <w:r w:rsidRPr="00EC1AD3">
        <w:rPr>
          <w:rFonts w:ascii="Times New Roman" w:hAnsi="Times New Roman" w:cs="Times New Roman"/>
        </w:rPr>
        <w:t>: The final pH of 5.80 is compatible with the natural acid mantle of human skin (pH 4.5–5.5)</w:t>
      </w:r>
      <w:r w:rsidRPr="00EC1AD3">
        <w:rPr>
          <w:rFonts w:ascii="Times New Roman" w:hAnsi="Times New Roman" w:cs="Times New Roman"/>
          <w:vertAlign w:val="superscript"/>
        </w:rPr>
        <w:t>[4]</w:t>
      </w:r>
      <w:r w:rsidRPr="00EC1AD3">
        <w:rPr>
          <w:rFonts w:ascii="Times New Roman" w:hAnsi="Times New Roman" w:cs="Times New Roman"/>
        </w:rPr>
        <w:t>.This provides a safe compromise: it maintains salicylic acid efficacy without inducing acid burn or cellular irritation</w:t>
      </w:r>
      <w:r w:rsidRPr="00EC1AD3">
        <w:rPr>
          <w:rFonts w:ascii="Times New Roman" w:hAnsi="Times New Roman" w:cs="Times New Roman"/>
          <w:vertAlign w:val="superscript"/>
        </w:rPr>
        <w:t>[3,4]</w:t>
      </w:r>
      <w:r w:rsidRPr="00EC1AD3">
        <w:rPr>
          <w:rFonts w:ascii="Times New Roman" w:hAnsi="Times New Roman" w:cs="Times New Roman"/>
        </w:rPr>
        <w:t>.</w:t>
      </w:r>
    </w:p>
    <w:p w14:paraId="491F779A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</w:rPr>
        <w:t>Comparative Advantage</w:t>
      </w:r>
      <w:r w:rsidRPr="00EC1AD3">
        <w:rPr>
          <w:rFonts w:ascii="Times New Roman" w:hAnsi="Times New Roman" w:cs="Times New Roman"/>
        </w:rPr>
        <w:t>: Unlike the marketed control product—which showed a post-application drying effect—Batch F3 maintained skin hydration due to the combined action of Glycerin, Sorbitol, and Turmeric Extract</w:t>
      </w:r>
      <w:r w:rsidRPr="00EC1AD3">
        <w:rPr>
          <w:rFonts w:ascii="Times New Roman" w:hAnsi="Times New Roman" w:cs="Times New Roman"/>
          <w:vertAlign w:val="superscript"/>
        </w:rPr>
        <w:t xml:space="preserve"> [2, 3, 4]</w:t>
      </w:r>
      <w:r w:rsidRPr="00EC1AD3">
        <w:rPr>
          <w:rFonts w:ascii="Times New Roman" w:hAnsi="Times New Roman" w:cs="Times New Roman"/>
        </w:rPr>
        <w:t>.</w:t>
      </w:r>
    </w:p>
    <w:p w14:paraId="573C1A53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  <w:bCs/>
        </w:rPr>
        <w:t>6. EXPECTED ADVANTAGES OF DEVELOPED FORMULATION</w:t>
      </w:r>
    </w:p>
    <w:p w14:paraId="37CABD1E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​Dual Therapeutic Action: Simultaneous exfoliation (keratolysis) and soothing (anti-inflammatory)</w:t>
      </w:r>
      <w:r w:rsidRPr="00EC1AD3">
        <w:rPr>
          <w:rFonts w:ascii="Times New Roman" w:hAnsi="Times New Roman" w:cs="Times New Roman"/>
          <w:vertAlign w:val="superscript"/>
        </w:rPr>
        <w:t>[3,4]</w:t>
      </w:r>
      <w:r w:rsidRPr="00EC1AD3">
        <w:rPr>
          <w:rFonts w:ascii="Times New Roman" w:hAnsi="Times New Roman" w:cs="Times New Roman"/>
        </w:rPr>
        <w:t>.</w:t>
      </w:r>
    </w:p>
    <w:p w14:paraId="77C5EF01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​Enhanced Skin Tolerance: Humectant matrix minimizes localized desquamation, peeling, and dryness commonly caused by standard beta-hydroxy acid gels</w:t>
      </w:r>
      <w:r w:rsidRPr="00EC1AD3">
        <w:rPr>
          <w:rFonts w:ascii="Times New Roman" w:hAnsi="Times New Roman" w:cs="Times New Roman"/>
          <w:vertAlign w:val="superscript"/>
        </w:rPr>
        <w:t>[2,3]</w:t>
      </w:r>
      <w:r w:rsidRPr="00EC1AD3">
        <w:rPr>
          <w:rFonts w:ascii="Times New Roman" w:hAnsi="Times New Roman" w:cs="Times New Roman"/>
        </w:rPr>
        <w:t>.</w:t>
      </w:r>
    </w:p>
    <w:p w14:paraId="7F6EE1A9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​Optimal Aesthetics: Water-based, non-comedogenic, non-greasy hydrogel matrix provides quick absorption and a cooling post-application sensation.</w:t>
      </w:r>
      <w:r w:rsidRPr="00EC1AD3">
        <w:rPr>
          <w:rFonts w:ascii="Times New Roman" w:hAnsi="Times New Roman" w:cs="Times New Roman"/>
          <w:vertAlign w:val="superscript"/>
        </w:rPr>
        <w:t>[1,4]</w:t>
      </w:r>
      <w:r w:rsidRPr="00EC1AD3">
        <w:rPr>
          <w:rFonts w:ascii="Times New Roman" w:hAnsi="Times New Roman" w:cs="Times New Roman"/>
        </w:rPr>
        <w:t>.</w:t>
      </w:r>
    </w:p>
    <w:p w14:paraId="5BD40A9A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</w:p>
    <w:p w14:paraId="70A799AC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  <w:bCs/>
        </w:rPr>
        <w:t>7. LIMITATIONS OF THE STUDY</w:t>
      </w:r>
    </w:p>
    <w:p w14:paraId="68BF529E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 xml:space="preserve">​Staining Potential: The high concentration of natural Turmeric Extract (10%) imparts a distinct yellow color that can stain light-colored clothing or bedding if applied heavily. </w:t>
      </w:r>
      <w:r w:rsidRPr="00EC1AD3">
        <w:rPr>
          <w:rFonts w:ascii="Times New Roman" w:hAnsi="Times New Roman" w:cs="Times New Roman"/>
          <w:vertAlign w:val="superscript"/>
        </w:rPr>
        <w:t>[3, 4]</w:t>
      </w:r>
      <w:r w:rsidRPr="00EC1AD3">
        <w:rPr>
          <w:rFonts w:ascii="Times New Roman" w:hAnsi="Times New Roman" w:cs="Times New Roman"/>
        </w:rPr>
        <w:t>.</w:t>
      </w:r>
    </w:p>
    <w:p w14:paraId="0ED17043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​Photo degradation: Curcuminoids are light sensitive</w:t>
      </w:r>
      <w:r w:rsidRPr="00EC1AD3">
        <w:rPr>
          <w:rFonts w:ascii="Times New Roman" w:hAnsi="Times New Roman" w:cs="Times New Roman"/>
          <w:vertAlign w:val="superscript"/>
        </w:rPr>
        <w:t xml:space="preserve"> [3]</w:t>
      </w:r>
      <w:r w:rsidRPr="00EC1AD3">
        <w:rPr>
          <w:rFonts w:ascii="Times New Roman" w:hAnsi="Times New Roman" w:cs="Times New Roman"/>
        </w:rPr>
        <w:t>.The product must be stored in opaque or amber-coloured airless pump containers to prevent photo-oxidation over time.</w:t>
      </w:r>
      <w:r w:rsidRPr="00EC1AD3">
        <w:rPr>
          <w:rFonts w:ascii="Times New Roman" w:hAnsi="Times New Roman" w:cs="Times New Roman"/>
          <w:vertAlign w:val="superscript"/>
        </w:rPr>
        <w:t>[1,3]</w:t>
      </w:r>
      <w:r w:rsidRPr="00EC1AD3">
        <w:rPr>
          <w:rFonts w:ascii="Times New Roman" w:hAnsi="Times New Roman" w:cs="Times New Roman"/>
        </w:rPr>
        <w:t>.</w:t>
      </w:r>
    </w:p>
    <w:p w14:paraId="13CC6D4B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​Long-Term Stability Testing: Accelerated real-time stability studies (40°C / 75%RH) over 6 months are required to confirm shelf-life shelf behaviour</w:t>
      </w:r>
      <w:r w:rsidRPr="00EC1AD3">
        <w:rPr>
          <w:rFonts w:ascii="Times New Roman" w:hAnsi="Times New Roman" w:cs="Times New Roman"/>
          <w:vertAlign w:val="superscript"/>
        </w:rPr>
        <w:t xml:space="preserve"> [1]</w:t>
      </w:r>
      <w:r w:rsidRPr="00EC1AD3">
        <w:rPr>
          <w:rFonts w:ascii="Times New Roman" w:hAnsi="Times New Roman" w:cs="Times New Roman"/>
        </w:rPr>
        <w:t>.</w:t>
      </w:r>
    </w:p>
    <w:p w14:paraId="24899D81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  <w:bCs/>
        </w:rPr>
        <w:t>8. CONCLUSION</w:t>
      </w:r>
    </w:p>
    <w:p w14:paraId="4E6C2DBC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</w:rPr>
        <w:tab/>
        <w:t>A polyherbal hydrogel containing 2.0% Salicylic Acid and 10.0% Turmeric Extract was successfully formulated, optimized, and evaluated</w:t>
      </w:r>
      <w:r w:rsidRPr="00EC1AD3">
        <w:rPr>
          <w:rFonts w:ascii="Times New Roman" w:hAnsi="Times New Roman" w:cs="Times New Roman"/>
          <w:vertAlign w:val="superscript"/>
        </w:rPr>
        <w:t xml:space="preserve"> [1, 3]</w:t>
      </w:r>
      <w:r w:rsidRPr="00EC1AD3">
        <w:rPr>
          <w:rFonts w:ascii="Times New Roman" w:hAnsi="Times New Roman" w:cs="Times New Roman"/>
        </w:rPr>
        <w:t>. Batch F3 achieved optimal physicochemical properties, ideal viscosity, smooth spread ability, and stable pH balance</w:t>
      </w:r>
      <w:r w:rsidRPr="00EC1AD3">
        <w:rPr>
          <w:rFonts w:ascii="Times New Roman" w:hAnsi="Times New Roman" w:cs="Times New Roman"/>
          <w:vertAlign w:val="superscript"/>
        </w:rPr>
        <w:t xml:space="preserve"> [1, 4]</w:t>
      </w:r>
      <w:r w:rsidRPr="00EC1AD3">
        <w:rPr>
          <w:rFonts w:ascii="Times New Roman" w:hAnsi="Times New Roman" w:cs="Times New Roman"/>
        </w:rPr>
        <w:t>.</w:t>
      </w:r>
    </w:p>
    <w:p w14:paraId="27237744" w14:textId="77777777" w:rsidR="00BE218F" w:rsidRPr="00EC1AD3" w:rsidRDefault="00BE218F" w:rsidP="00BA34AC">
      <w:pPr>
        <w:spacing w:line="360" w:lineRule="auto"/>
        <w:jc w:val="both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The inclusion of botanical actives successfully addressed the drying side effects of conventional salicylic acid gels while maintaining structural stability and desirable cosmetic feel</w:t>
      </w:r>
      <w:r w:rsidRPr="00EC1AD3">
        <w:rPr>
          <w:rFonts w:ascii="Times New Roman" w:hAnsi="Times New Roman" w:cs="Times New Roman"/>
          <w:vertAlign w:val="superscript"/>
        </w:rPr>
        <w:t xml:space="preserve"> [3, 4]</w:t>
      </w:r>
      <w:r w:rsidRPr="00EC1AD3">
        <w:rPr>
          <w:rFonts w:ascii="Times New Roman" w:hAnsi="Times New Roman" w:cs="Times New Roman"/>
        </w:rPr>
        <w:t>.</w:t>
      </w:r>
    </w:p>
    <w:p w14:paraId="16A329BF" w14:textId="77777777" w:rsidR="00BE218F" w:rsidRPr="00EC1AD3" w:rsidRDefault="00BE218F" w:rsidP="00BA34AC">
      <w:pPr>
        <w:spacing w:line="360" w:lineRule="auto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</w:t>
      </w:r>
      <w:r w:rsidRPr="00EC1AD3">
        <w:rPr>
          <w:rFonts w:ascii="Times New Roman" w:hAnsi="Times New Roman" w:cs="Times New Roman"/>
          <w:b/>
          <w:bCs/>
        </w:rPr>
        <w:t>9. REFERENCES</w:t>
      </w:r>
    </w:p>
    <w:p w14:paraId="0C854727" w14:textId="77777777" w:rsidR="00BE218F" w:rsidRPr="00EC1AD3" w:rsidRDefault="00BE218F" w:rsidP="00BA34A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​Allen, L. V., &amp; Ansel, H. C. (2014). Ansel's Pharmaceutical Dosage Forms and Drug Delivery Systems. Lippincott Williams &amp; Wilkins.</w:t>
      </w:r>
    </w:p>
    <w:p w14:paraId="70075092" w14:textId="77777777" w:rsidR="00BE218F" w:rsidRPr="00EC1AD3" w:rsidRDefault="00BE218F" w:rsidP="00BA34A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​Rowe, R. C., Sheskey, P. J., &amp; Quinn, M. E. (2009). Handbook of Pharmaceutical Excipients (6th ed.). Pharmaceutical Press.</w:t>
      </w:r>
    </w:p>
    <w:p w14:paraId="63AAF416" w14:textId="77777777" w:rsidR="00BE218F" w:rsidRPr="00EC1AD3" w:rsidRDefault="00BE218F" w:rsidP="00BA34A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​Kapoor, S., &amp; Saraf, S. (2010). Topical herbal therapies for acne: A review. Research Journal of Medicinal Plant, 4[3], 116-124.</w:t>
      </w:r>
    </w:p>
    <w:p w14:paraId="3062E45B" w14:textId="77777777" w:rsidR="00BE218F" w:rsidRPr="00EC1AD3" w:rsidRDefault="00BE218F" w:rsidP="00BA34A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C1AD3">
        <w:rPr>
          <w:rFonts w:ascii="Times New Roman" w:hAnsi="Times New Roman" w:cs="Times New Roman"/>
        </w:rPr>
        <w:t>​Barel, A. O., Paye, M., &amp; Maibach, H. I. (2014). Handbook of Cosmetic Science and Technology. CRC Press.</w:t>
      </w:r>
    </w:p>
    <w:p w14:paraId="5CDF5445" w14:textId="77777777" w:rsidR="00BE218F" w:rsidRPr="00EC1AD3" w:rsidRDefault="00BE218F"/>
    <w:sectPr w:rsidR="00BE218F" w:rsidRPr="00EC1AD3" w:rsidSect="00BE218F">
      <w:headerReference w:type="default" r:id="rId7"/>
      <w:footerReference w:type="default" r:id="rId8"/>
      <w:pgSz w:w="11906" w:h="16838"/>
      <w:pgMar w:top="9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7B0D" w14:textId="77777777" w:rsidR="00BA21D7" w:rsidRDefault="00BA21D7">
      <w:pPr>
        <w:spacing w:after="0" w:line="240" w:lineRule="auto"/>
      </w:pPr>
      <w:r>
        <w:separator/>
      </w:r>
    </w:p>
  </w:endnote>
  <w:endnote w:type="continuationSeparator" w:id="0">
    <w:p w14:paraId="399C8FE2" w14:textId="77777777" w:rsidR="00BA21D7" w:rsidRDefault="00BA2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BE218F" w14:paraId="07015695" w14:textId="77777777" w:rsidTr="7F71DDEB">
      <w:trPr>
        <w:trHeight w:val="300"/>
      </w:trPr>
      <w:tc>
        <w:tcPr>
          <w:tcW w:w="3005" w:type="dxa"/>
        </w:tcPr>
        <w:p w14:paraId="0272445B" w14:textId="77777777" w:rsidR="00BE218F" w:rsidRDefault="00BE218F" w:rsidP="7F71DDEB">
          <w:pPr>
            <w:pStyle w:val="Header"/>
            <w:ind w:left="-115"/>
          </w:pPr>
        </w:p>
      </w:tc>
      <w:tc>
        <w:tcPr>
          <w:tcW w:w="3005" w:type="dxa"/>
        </w:tcPr>
        <w:p w14:paraId="74B4F733" w14:textId="77777777" w:rsidR="00BE218F" w:rsidRDefault="00BE218F" w:rsidP="7F71DDEB">
          <w:pPr>
            <w:pStyle w:val="Header"/>
            <w:jc w:val="center"/>
          </w:pPr>
        </w:p>
      </w:tc>
      <w:tc>
        <w:tcPr>
          <w:tcW w:w="3005" w:type="dxa"/>
        </w:tcPr>
        <w:p w14:paraId="5D7C5CCF" w14:textId="77777777" w:rsidR="00BE218F" w:rsidRDefault="00BE218F" w:rsidP="7F71DDEB">
          <w:pPr>
            <w:pStyle w:val="Header"/>
            <w:ind w:right="-115"/>
            <w:jc w:val="right"/>
          </w:pPr>
        </w:p>
      </w:tc>
    </w:tr>
  </w:tbl>
  <w:p w14:paraId="59633C63" w14:textId="77777777" w:rsidR="00BE218F" w:rsidRDefault="00BE21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9EE2" w14:textId="77777777" w:rsidR="00BA21D7" w:rsidRDefault="00BA21D7">
      <w:pPr>
        <w:spacing w:after="0" w:line="240" w:lineRule="auto"/>
      </w:pPr>
      <w:r>
        <w:separator/>
      </w:r>
    </w:p>
  </w:footnote>
  <w:footnote w:type="continuationSeparator" w:id="0">
    <w:p w14:paraId="6BEAC00D" w14:textId="77777777" w:rsidR="00BA21D7" w:rsidRDefault="00BA2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BE218F" w14:paraId="19AFE2F6" w14:textId="77777777" w:rsidTr="7F71DDEB">
      <w:trPr>
        <w:trHeight w:val="300"/>
      </w:trPr>
      <w:tc>
        <w:tcPr>
          <w:tcW w:w="3005" w:type="dxa"/>
        </w:tcPr>
        <w:p w14:paraId="47E478DC" w14:textId="77777777" w:rsidR="00BE218F" w:rsidRDefault="00BE218F" w:rsidP="7F71DDEB">
          <w:pPr>
            <w:pStyle w:val="Header"/>
            <w:ind w:left="-115"/>
          </w:pPr>
        </w:p>
      </w:tc>
      <w:tc>
        <w:tcPr>
          <w:tcW w:w="3005" w:type="dxa"/>
        </w:tcPr>
        <w:p w14:paraId="22FD5F7F" w14:textId="77777777" w:rsidR="00BE218F" w:rsidRDefault="00BE218F" w:rsidP="7F71DDEB">
          <w:pPr>
            <w:pStyle w:val="Header"/>
            <w:jc w:val="center"/>
          </w:pPr>
        </w:p>
      </w:tc>
      <w:tc>
        <w:tcPr>
          <w:tcW w:w="3005" w:type="dxa"/>
        </w:tcPr>
        <w:p w14:paraId="6D45613A" w14:textId="77777777" w:rsidR="00BE218F" w:rsidRDefault="00BE218F" w:rsidP="7F71DDEB">
          <w:pPr>
            <w:pStyle w:val="Header"/>
            <w:ind w:right="-115"/>
            <w:jc w:val="right"/>
          </w:pPr>
        </w:p>
      </w:tc>
    </w:tr>
  </w:tbl>
  <w:p w14:paraId="0BA2B8A2" w14:textId="77777777" w:rsidR="00BE218F" w:rsidRDefault="00BE21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0C0A"/>
    <w:multiLevelType w:val="hybridMultilevel"/>
    <w:tmpl w:val="14D44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41CD3"/>
    <w:multiLevelType w:val="hybridMultilevel"/>
    <w:tmpl w:val="3BE8A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A06C3"/>
    <w:multiLevelType w:val="multilevel"/>
    <w:tmpl w:val="FFFFFFFF"/>
    <w:lvl w:ilvl="0">
      <w:start w:val="3"/>
      <w:numFmt w:val="decimal"/>
      <w:lvlText w:val="%1"/>
      <w:lvlJc w:val="left"/>
      <w:pPr>
        <w:ind w:left="378" w:hanging="37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A5F15E9"/>
    <w:multiLevelType w:val="hybridMultilevel"/>
    <w:tmpl w:val="70025712"/>
    <w:lvl w:ilvl="0" w:tplc="FFFFFFFF">
      <w:start w:val="1"/>
      <w:numFmt w:val="decimal"/>
      <w:lvlText w:val="%1."/>
      <w:lvlJc w:val="left"/>
      <w:pPr>
        <w:ind w:left="427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147" w:hanging="360"/>
      </w:pPr>
    </w:lvl>
    <w:lvl w:ilvl="2" w:tplc="0809001B" w:tentative="1">
      <w:start w:val="1"/>
      <w:numFmt w:val="lowerRoman"/>
      <w:lvlText w:val="%3."/>
      <w:lvlJc w:val="right"/>
      <w:pPr>
        <w:ind w:left="1867" w:hanging="180"/>
      </w:pPr>
    </w:lvl>
    <w:lvl w:ilvl="3" w:tplc="0809000F" w:tentative="1">
      <w:start w:val="1"/>
      <w:numFmt w:val="decimal"/>
      <w:lvlText w:val="%4."/>
      <w:lvlJc w:val="left"/>
      <w:pPr>
        <w:ind w:left="2587" w:hanging="360"/>
      </w:pPr>
    </w:lvl>
    <w:lvl w:ilvl="4" w:tplc="08090019" w:tentative="1">
      <w:start w:val="1"/>
      <w:numFmt w:val="lowerLetter"/>
      <w:lvlText w:val="%5."/>
      <w:lvlJc w:val="left"/>
      <w:pPr>
        <w:ind w:left="3307" w:hanging="360"/>
      </w:pPr>
    </w:lvl>
    <w:lvl w:ilvl="5" w:tplc="0809001B" w:tentative="1">
      <w:start w:val="1"/>
      <w:numFmt w:val="lowerRoman"/>
      <w:lvlText w:val="%6."/>
      <w:lvlJc w:val="right"/>
      <w:pPr>
        <w:ind w:left="4027" w:hanging="180"/>
      </w:pPr>
    </w:lvl>
    <w:lvl w:ilvl="6" w:tplc="0809000F" w:tentative="1">
      <w:start w:val="1"/>
      <w:numFmt w:val="decimal"/>
      <w:lvlText w:val="%7."/>
      <w:lvlJc w:val="left"/>
      <w:pPr>
        <w:ind w:left="4747" w:hanging="360"/>
      </w:pPr>
    </w:lvl>
    <w:lvl w:ilvl="7" w:tplc="08090019" w:tentative="1">
      <w:start w:val="1"/>
      <w:numFmt w:val="lowerLetter"/>
      <w:lvlText w:val="%8."/>
      <w:lvlJc w:val="left"/>
      <w:pPr>
        <w:ind w:left="5467" w:hanging="360"/>
      </w:pPr>
    </w:lvl>
    <w:lvl w:ilvl="8" w:tplc="0809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4" w15:restartNumberingAfterBreak="0">
    <w:nsid w:val="414A0028"/>
    <w:multiLevelType w:val="hybridMultilevel"/>
    <w:tmpl w:val="06DA2FA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322112">
    <w:abstractNumId w:val="4"/>
  </w:num>
  <w:num w:numId="2" w16cid:durableId="414207530">
    <w:abstractNumId w:val="1"/>
  </w:num>
  <w:num w:numId="3" w16cid:durableId="1737241358">
    <w:abstractNumId w:val="2"/>
  </w:num>
  <w:num w:numId="4" w16cid:durableId="1823307692">
    <w:abstractNumId w:val="0"/>
  </w:num>
  <w:num w:numId="5" w16cid:durableId="1129397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8F"/>
    <w:rsid w:val="00361BD0"/>
    <w:rsid w:val="004C2AFD"/>
    <w:rsid w:val="005107ED"/>
    <w:rsid w:val="00543026"/>
    <w:rsid w:val="0054711F"/>
    <w:rsid w:val="00AB0423"/>
    <w:rsid w:val="00AE5697"/>
    <w:rsid w:val="00B012AC"/>
    <w:rsid w:val="00B1098C"/>
    <w:rsid w:val="00BA21D7"/>
    <w:rsid w:val="00BE218F"/>
    <w:rsid w:val="00C343F2"/>
    <w:rsid w:val="00E31E06"/>
    <w:rsid w:val="00EC1AD3"/>
    <w:rsid w:val="00F2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17163"/>
  <w15:chartTrackingRefBased/>
  <w15:docId w15:val="{F65E0C47-60B7-D84E-BF74-BC463C96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218F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218F"/>
    <w:pPr>
      <w:tabs>
        <w:tab w:val="center" w:pos="4513"/>
        <w:tab w:val="right" w:pos="9026"/>
      </w:tabs>
      <w:spacing w:after="0" w:line="240" w:lineRule="auto"/>
    </w:pPr>
    <w:rPr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BE218F"/>
    <w:rPr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218F"/>
    <w:pPr>
      <w:tabs>
        <w:tab w:val="center" w:pos="4513"/>
        <w:tab w:val="right" w:pos="9026"/>
      </w:tabs>
      <w:spacing w:after="0" w:line="240" w:lineRule="auto"/>
    </w:pPr>
    <w:rPr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E218F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1873</Words>
  <Characters>10678</Characters>
  <Application>Microsoft Office Word</Application>
  <DocSecurity>0</DocSecurity>
  <Lines>88</Lines>
  <Paragraphs>25</Paragraphs>
  <ScaleCrop>false</ScaleCrop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Deshmukh</dc:creator>
  <cp:keywords/>
  <dc:description/>
  <cp:lastModifiedBy>Samruddhi Deshmukh</cp:lastModifiedBy>
  <cp:revision>2</cp:revision>
  <dcterms:created xsi:type="dcterms:W3CDTF">2026-09-24T08:47:00Z</dcterms:created>
  <dcterms:modified xsi:type="dcterms:W3CDTF">2026-09-24T08:47:00Z</dcterms:modified>
</cp:coreProperties>
</file>