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rest-gold-award-student-profile-form"/>
    <w:p>
      <w:pPr>
        <w:pStyle w:val="Heading1"/>
      </w:pPr>
      <w:r>
        <w:t xml:space="preserve">CREST Gold Award — Student Profile form</w:t>
      </w:r>
    </w:p>
    <w:p>
      <w:pPr>
        <w:pStyle w:val="BlockText"/>
      </w:pPr>
      <w:r>
        <w:t xml:space="preserve">CREST asks for a Student Profile form alongside the report, one per student. It is the assessor’s map: for each of the 15 criteria it points to where in the report the evidence sits, with a short note. This mirrors the official form (download and transcribe from crestawards.org). The</w:t>
      </w:r>
      <w:r>
        <w:t xml:space="preserve"> </w:t>
      </w:r>
      <w:r>
        <w:t xml:space="preserve">“Where”</w:t>
      </w:r>
      <w:r>
        <w:t xml:space="preserve"> </w:t>
      </w:r>
      <w:r>
        <w:t xml:space="preserve">column cites the report’s numbered sections; on the exported PDF these map to printed page numbers, which should be filled in last, after the final export.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Student’s first name</w:t>
            </w:r>
          </w:p>
        </w:tc>
        <w:tc>
          <w:tcPr/>
          <w:p>
            <w:pPr>
              <w:pStyle w:val="Compact"/>
            </w:pPr>
            <w:r>
              <w:t xml:space="preserve">Devadit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CREST Award level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title</w:t>
            </w:r>
          </w:p>
        </w:tc>
        <w:tc>
          <w:tcPr/>
          <w:p>
            <w:pPr>
              <w:pStyle w:val="Compact"/>
            </w:pPr>
            <w:r>
              <w:t xml:space="preserve">Reading mango dry matter with eight wavelengths: a low-cost near-infrared meter for harvest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Mentor name</w:t>
            </w:r>
          </w:p>
        </w:tc>
        <w:tc>
          <w:tcPr/>
          <w:p>
            <w:pPr>
              <w:pStyle w:val="Compact"/>
            </w:pPr>
            <w:r>
              <w:t xml:space="preserve">None — independent project (see the note at the end)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" w:name="part-a-criteria-checklist"/>
    <w:p>
      <w:pPr>
        <w:pStyle w:val="Heading2"/>
      </w:pPr>
      <w:r>
        <w:t xml:space="preserve">Part A — criteria checklist</w:t>
      </w:r>
    </w:p>
    <w:bookmarkStart w:id="9" w:name="planning-the-project"/>
    <w:p>
      <w:pPr>
        <w:pStyle w:val="Heading3"/>
      </w:pPr>
      <w:r>
        <w:t xml:space="preserve">1 — Planning the project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Where I show this</w:t>
            </w:r>
          </w:p>
        </w:tc>
        <w:tc>
          <w:tcPr/>
          <w:p>
            <w:pPr>
              <w:pStyle w:val="Compact"/>
            </w:pPr>
            <w:r>
              <w:t xml:space="preserve">Note to the assessor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</w:t>
            </w:r>
            <w:r>
              <w:t xml:space="preserve"> </w:t>
            </w:r>
            <w:r>
              <w:t xml:space="preserve">Clear aim, broken into objectives</w:t>
            </w:r>
          </w:p>
        </w:tc>
        <w:tc>
          <w:tcPr/>
          <w:p>
            <w:pPr>
              <w:pStyle w:val="Compact"/>
            </w:pPr>
            <w:r>
              <w:t xml:space="preserve">§1.1 (aim), §1.2 (conditions S1–S5), §1.3 (six objectives)</w:t>
            </w:r>
          </w:p>
        </w:tc>
        <w:tc>
          <w:tcPr/>
          <w:p>
            <w:pPr>
              <w:pStyle w:val="Compact"/>
            </w:pPr>
            <w:r>
              <w:t xml:space="preserve">One testable aim, five measured success conditions written before the analysis, and six build-and-check objectives; revisited in §5.7.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</w:t>
            </w:r>
            <w:r>
              <w:t xml:space="preserve"> </w:t>
            </w:r>
            <w:r>
              <w:t xml:space="preserve">Wider purpose</w:t>
            </w:r>
          </w:p>
        </w:tc>
        <w:tc>
          <w:tcPr/>
          <w:p>
            <w:pPr>
              <w:pStyle w:val="Compact"/>
            </w:pPr>
            <w:r>
              <w:t xml:space="preserve">§1.4</w:t>
            </w:r>
          </w:p>
        </w:tc>
        <w:tc>
          <w:tcPr/>
          <w:p>
            <w:pPr>
              <w:pStyle w:val="Compact"/>
            </w:pPr>
            <w:r>
              <w:t xml:space="preserve">Named stakeholders (smallholder, trader, buyer), a production and loss statistic, and why the problem is unsolved: instrument cost, and cheap sensors looking in the wrong place.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</w:t>
            </w:r>
            <w:r>
              <w:t xml:space="preserve"> </w:t>
            </w:r>
            <w:r>
              <w:t xml:space="preserve">Range of approaches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Two trade-off tables. Four ways to give a maturity reading and three ways to build the sensor, each with a reasoned elimination.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</w:t>
            </w:r>
            <w:r>
              <w:t xml:space="preserve"> </w:t>
            </w:r>
            <w:r>
              <w:t xml:space="preserve">Plan and rationale</w:t>
            </w:r>
          </w:p>
        </w:tc>
        <w:tc>
          <w:tcPr/>
          <w:p>
            <w:pPr>
              <w:pStyle w:val="Compact"/>
            </w:pPr>
            <w:r>
              <w:t xml:space="preserve">§3, §4, §4.8, Appendix A</w:t>
            </w:r>
          </w:p>
        </w:tc>
        <w:tc>
          <w:tcPr/>
          <w:p>
            <w:pPr>
              <w:pStyle w:val="Compact"/>
            </w:pPr>
            <w:r>
              <w:t xml:space="preserve">Every major decision carries its reason; the method is replicable from §4 and the reproduce commands in Appendix 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</w:t>
            </w:r>
            <w:r>
              <w:t xml:space="preserve"> </w:t>
            </w:r>
            <w:r>
              <w:t xml:space="preserve">Time plan</w:t>
            </w:r>
          </w:p>
        </w:tc>
        <w:tc>
          <w:tcPr/>
          <w:p>
            <w:pPr>
              <w:pStyle w:val="Compact"/>
            </w:pPr>
            <w:r>
              <w:t xml:space="preserve">Appendix A</w:t>
            </w:r>
          </w:p>
        </w:tc>
        <w:tc>
          <w:tcPr/>
          <w:p>
            <w:pPr>
              <w:pStyle w:val="Compact"/>
            </w:pPr>
            <w:r>
              <w:t xml:space="preserve">Planned-against-actual timeline with a buffer and one documented deviation (the week spent diagnosing the weak first result).</w:t>
            </w:r>
          </w:p>
        </w:tc>
      </w:tr>
    </w:tbl>
    <w:bookmarkEnd w:id="9"/>
    <w:bookmarkStart w:id="10" w:name="throughout-the-project"/>
    <w:p>
      <w:pPr>
        <w:pStyle w:val="Heading3"/>
      </w:pPr>
      <w:r>
        <w:t xml:space="preserve">2 — Throughout the project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Where I show this</w:t>
            </w:r>
          </w:p>
        </w:tc>
        <w:tc>
          <w:tcPr/>
          <w:p>
            <w:pPr>
              <w:pStyle w:val="Compact"/>
            </w:pPr>
            <w:r>
              <w:t xml:space="preserve">Note to the assessor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</w:t>
            </w:r>
            <w:r>
              <w:t xml:space="preserve"> </w:t>
            </w:r>
            <w:r>
              <w:t xml:space="preserve">Materials and people</w:t>
            </w:r>
          </w:p>
        </w:tc>
        <w:tc>
          <w:tcPr/>
          <w:p>
            <w:pPr>
              <w:pStyle w:val="Compact"/>
            </w:pPr>
            <w:r>
              <w:t xml:space="preserve">§4.7, Appendix C</w:t>
            </w:r>
          </w:p>
        </w:tc>
        <w:tc>
          <w:tcPr/>
          <w:p>
            <w:pPr>
              <w:pStyle w:val="Compact"/>
            </w:pPr>
            <w:r>
              <w:t xml:space="preserve">Each resource paired with the alternative I weighed against it; full bill of materials; a cooperating grower described how harvest timing is judged now; a reflection on working without a supervisor and what it cost.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</w:t>
            </w:r>
            <w:r>
              <w:t xml:space="preserve"> </w:t>
            </w:r>
            <w:r>
              <w:t xml:space="preserve">Background, sources acknowledged</w:t>
            </w:r>
          </w:p>
        </w:tc>
        <w:tc>
          <w:tcPr/>
          <w:p>
            <w:pPr>
              <w:pStyle w:val="Compact"/>
            </w:pPr>
            <w:r>
              <w:t xml:space="preserve">§2, References §9</w:t>
            </w:r>
          </w:p>
        </w:tc>
        <w:tc>
          <w:tcPr/>
          <w:p>
            <w:pPr>
              <w:pStyle w:val="Compact"/>
            </w:pPr>
            <w:r>
              <w:t xml:space="preserve">A synthesis that runs from the physics to the public benchmark to the open cheap-sensor gap; 18 references, most peer-reviewed, cited in the text.</w:t>
            </w:r>
          </w:p>
        </w:tc>
      </w:tr>
    </w:tbl>
    <w:bookmarkEnd w:id="10"/>
    <w:bookmarkStart w:id="11" w:name="finalising-the-project"/>
    <w:p>
      <w:pPr>
        <w:pStyle w:val="Heading3"/>
      </w:pPr>
      <w:r>
        <w:t xml:space="preserve">3 — Finalising the project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Where I show this</w:t>
            </w:r>
          </w:p>
        </w:tc>
        <w:tc>
          <w:tcPr/>
          <w:p>
            <w:pPr>
              <w:pStyle w:val="Compact"/>
            </w:pPr>
            <w:r>
              <w:t xml:space="preserve">Note to the assessor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</w:t>
            </w:r>
            <w:r>
              <w:t xml:space="preserve"> </w:t>
            </w:r>
            <w:r>
              <w:t xml:space="preserve">Logical conclusions and implications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Each success condition answered with numbers; implications for a smallholder; an explicit statement of what the findings do not prove.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3.2</w:t>
            </w:r>
            <w:r>
              <w:t xml:space="preserve"> </w:t>
            </w:r>
            <w:r>
              <w:t xml:space="preserve">How actions and decisions affected the outcome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The choice to pick wavelengths from data rather than buy a chip is traced to the 0.63 R² it bought; the weak first result is traced to band placement.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3.3</w:t>
            </w:r>
            <w:r>
              <w:t xml:space="preserve"> </w:t>
            </w:r>
            <w:r>
              <w:t xml:space="preserve">Learning and reflection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Five parts: what I learned, what went well, what went wrong, what I would change, and where it goes next with the resource each step needs.</w:t>
            </w:r>
          </w:p>
        </w:tc>
      </w:tr>
    </w:tbl>
    <w:bookmarkEnd w:id="11"/>
    <w:bookmarkStart w:id="12" w:name="project-wide"/>
    <w:p>
      <w:pPr>
        <w:pStyle w:val="Heading3"/>
      </w:pPr>
      <w:r>
        <w:t xml:space="preserve">4 — Project-wide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Where I show this</w:t>
            </w:r>
          </w:p>
        </w:tc>
        <w:tc>
          <w:tcPr/>
          <w:p>
            <w:pPr>
              <w:pStyle w:val="Compact"/>
            </w:pPr>
            <w:r>
              <w:t xml:space="preserve">Note to the assessor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4.1</w:t>
            </w:r>
            <w:r>
              <w:t xml:space="preserve"> </w:t>
            </w:r>
            <w:r>
              <w:t xml:space="preserve">Understanding of the science</w:t>
            </w:r>
          </w:p>
        </w:tc>
        <w:tc>
          <w:tcPr/>
          <w:p>
            <w:pPr>
              <w:pStyle w:val="Compact"/>
            </w:pPr>
            <w:r>
              <w:t xml:space="preserve">§2, §4.2, §4.3, Appendix F</w:t>
            </w:r>
          </w:p>
        </w:tc>
        <w:tc>
          <w:tcPr/>
          <w:p>
            <w:pPr>
              <w:pStyle w:val="Compact"/>
            </w:pPr>
            <w:r>
              <w:t xml:space="preserve">The near-infrared chemistry, partial least squares, the derivative preprocessing and the metrics explained in my own words; the maths and settings in the appendix.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</w:t>
            </w:r>
            <w:r>
              <w:t xml:space="preserve"> </w:t>
            </w:r>
            <w:r>
              <w:t xml:space="preserve">Ethics and safety</w:t>
            </w:r>
          </w:p>
        </w:tc>
        <w:tc>
          <w:tcPr/>
          <w:p>
            <w:pPr>
              <w:pStyle w:val="Compact"/>
            </w:pPr>
            <w:r>
              <w:t xml:space="preserve">§4.9, Appendix B</w:t>
            </w:r>
          </w:p>
        </w:tc>
        <w:tc>
          <w:tcPr/>
          <w:p>
            <w:pPr>
              <w:pStyle w:val="Compact"/>
            </w:pPr>
            <w:r>
              <w:t xml:space="preserve">Electrical and eye safety; the asymmetry of a wrong maturity call; a measured fairness check across cultivars; no personal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</w:t>
            </w:r>
            <w:r>
              <w:t xml:space="preserve"> </w:t>
            </w:r>
            <w:r>
              <w:t xml:space="preserve">Creative thinking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Four named creative decisions, including simulating the sensor from real spectra before building it, and reading the failure as a design rule.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4.4</w:t>
            </w:r>
            <w:r>
              <w:t xml:space="preserve"> </w:t>
            </w:r>
            <w:r>
              <w:t xml:space="preserve">Identified and overcame problems</w:t>
            </w:r>
          </w:p>
        </w:tc>
        <w:tc>
          <w:tcPr/>
          <w:p>
            <w:pPr>
              <w:pStyle w:val="Compact"/>
            </w:pPr>
            <w:r>
              <w:t xml:space="preserve">§5.2, §6.2, §8</w:t>
            </w:r>
          </w:p>
        </w:tc>
        <w:tc>
          <w:tcPr/>
          <w:p>
            <w:pPr>
              <w:pStyle w:val="Compact"/>
            </w:pPr>
            <w:r>
              <w:t xml:space="preserve">The near-useless first result and its diagnosis (placement, not band count); the scatter-correction step that made a model unstable; each with cause and fix.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</w:t>
            </w:r>
            <w:r>
              <w:t xml:space="preserve"> </w:t>
            </w: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Whole report, glossary Appendix D</w:t>
            </w:r>
          </w:p>
        </w:tc>
        <w:tc>
          <w:tcPr/>
          <w:p>
            <w:pPr>
              <w:pStyle w:val="Compact"/>
            </w:pPr>
            <w:r>
              <w:t xml:space="preserve">Written for a scientifically literate non-specialist; abbreviations expanded, nine captioned figures, tables, a glossary, and the depth quarantined in the appendix.</w:t>
            </w:r>
          </w:p>
        </w:tc>
      </w:tr>
    </w:tbl>
    <w:p>
      <w:pPr>
        <w:pStyle w:val="BodyText"/>
      </w:pPr>
      <w:r>
        <w:t xml:space="preserve">Every criterion has explicit evidence; no row is blank.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part-b-personal-reflections"/>
    <w:p>
      <w:pPr>
        <w:pStyle w:val="Heading2"/>
      </w:pPr>
      <w:r>
        <w:t xml:space="preserve">Part B — personal reflections</w:t>
      </w:r>
    </w:p>
    <w:p>
      <w:pPr>
        <w:pStyle w:val="FirstParagraph"/>
      </w:pPr>
      <w:r>
        <w:rPr>
          <w:i/>
          <w:iCs/>
        </w:rPr>
        <w:t xml:space="preserve">(First draft for the official form; put it into your own words before transcribing.)</w:t>
      </w:r>
    </w:p>
    <w:p>
      <w:pPr>
        <w:pStyle w:val="BodyText"/>
      </w:pPr>
      <w:r>
        <w:rPr>
          <w:b/>
          <w:bCs/>
        </w:rPr>
        <w:t xml:space="preserve">Why I chose this project.</w:t>
      </w:r>
      <w:r>
        <w:t xml:space="preserve"> </w:t>
      </w:r>
      <w:r>
        <w:t xml:space="preserve">My family buys Alphonso every summer, and some years the fruit never ripens properly however long we wait. I learned that this comes down to dry matter at harvest, a number growers cannot measure because the meter costs about ₹8.5 lakh. I wanted to know whether I could build one for the price of a school project.</w:t>
      </w:r>
    </w:p>
    <w:p>
      <w:pPr>
        <w:pStyle w:val="BodyText"/>
      </w:pPr>
      <w:r>
        <w:rPr>
          <w:b/>
          <w:bCs/>
        </w:rPr>
        <w:t xml:space="preserve">How it was and was not successful.</w:t>
      </w:r>
      <w:r>
        <w:t xml:space="preserve"> </w:t>
      </w:r>
      <w:r>
        <w:t xml:space="preserve">It worked better than I expected on the core question. A model using my meter’s eight wavelengths, computed from the research spectra, read dry matter almost as well as a laboratory instrument, an R² of 0.84 against 0.85, and I found which wavelengths are needed and why the popular cheap chips fail. The built meter runs that model on the device, but I have not yet validated it against oven-dried fruit, and it is not yet proven on Indian cultivars because the public data are Australian. Those two steps are the gap I have set up a field validation to close.</w:t>
      </w:r>
    </w:p>
    <w:p>
      <w:pPr>
        <w:pStyle w:val="BodyText"/>
      </w:pPr>
      <w:r>
        <w:rPr>
          <w:b/>
          <w:bCs/>
        </w:rPr>
        <w:t xml:space="preserve">What I learned.</w:t>
      </w:r>
      <w:r>
        <w:t xml:space="preserve"> </w:t>
      </w:r>
      <w:r>
        <w:t xml:space="preserve">Why a handful of wavelengths can stand in for a whole spectrum, because the dry-matter signal is concentrated where sugar, starch and water absorb rather than spread across the light. That a cheap sensor is a different design problem, not a worse instrument. And that a discouraging result deserves to be taken apart rather than believed, since the project’s main finding was hiding inside a number I almost wrote off.</w:t>
      </w:r>
    </w:p>
    <w:p>
      <w:pPr>
        <w:pStyle w:val="BodyText"/>
      </w:pPr>
      <w:r>
        <w:rPr>
          <w:b/>
          <w:bCs/>
        </w:rPr>
        <w:t xml:space="preserve">What impact it might have.</w:t>
      </w:r>
      <w:r>
        <w:t xml:space="preserve"> </w:t>
      </w:r>
      <w:r>
        <w:t xml:space="preserve">A sub-₹2,500 meter that reads maturity turns a grower’s guess into a number, which lets a smallholder pick at the right time and prove the quality of a lot at sale. The eight-wavelength design is open for anyone to reproduce, and the finding that off-the-shelf chips are placed wrongly should save other builders the week it cost me.</w:t>
      </w:r>
    </w:p>
    <w:p>
      <w:pPr>
        <w:pStyle w:val="BodyText"/>
      </w:pPr>
      <w:r>
        <w:rPr>
          <w:b/>
          <w:bCs/>
        </w:rPr>
        <w:t xml:space="preserve">What I would improve.</w:t>
      </w:r>
      <w:r>
        <w:t xml:space="preserve"> </w:t>
      </w:r>
      <w:r>
        <w:t xml:space="preserve">I would arrange the orchard access before the analysis, so the field season was not the part left hanging. I would build the meter with a proper white tile and dark-current correction from the first prototype, since those, not the wavelengths, are what will limit a real device. And I would test the transfer to a new cultivar earlier, because it is the result that most shapes how the meter should be used.</w:t>
      </w:r>
    </w:p>
    <w:p>
      <w:r>
        <w:pict>
          <v:rect style="width:0;height:1.5pt" o:hralign="center" o:hrstd="t" o:hr="t"/>
        </w:pict>
      </w:r>
    </w:p>
    <w:bookmarkEnd w:id="14"/>
    <w:bookmarkStart w:id="15" w:name="my-mentor"/>
    <w:p>
      <w:pPr>
        <w:pStyle w:val="Heading2"/>
      </w:pPr>
      <w:r>
        <w:t xml:space="preserve">My mentor</w:t>
      </w:r>
    </w:p>
    <w:p>
      <w:pPr>
        <w:pStyle w:val="FirstParagraph"/>
      </w:pPr>
      <w:r>
        <w:t xml:space="preserve">This project was completed independently, with no mentor or supervisor. Where I needed to check the spectroscopy or the agronomy I went to the primary literature, recorded in the reference list. A local mango grower has agreed to host the field validation described in Appendix E. AI assistance is disclosed in the report’s Appendix E: an assistant was used for coding help, for reasoning about the evaluation design, and for editing drafts.</w:t>
      </w:r>
    </w:p>
    <w:p>
      <w:r>
        <w:pict>
          <v:rect style="width:0;height:1.5pt" o:hralign="center" o:hrstd="t" o:hr="t"/>
        </w:pict>
      </w:r>
    </w:p>
    <w:bookmarkEnd w:id="15"/>
    <w:bookmarkStart w:id="16" w:name="ai-declaration"/>
    <w:p>
      <w:pPr>
        <w:pStyle w:val="Heading2"/>
      </w:pPr>
      <w:r>
        <w:t xml:space="preserve">AI declaration</w:t>
      </w:r>
    </w:p>
    <w:p>
      <w:pPr>
        <w:pStyle w:val="FirstParagraph"/>
      </w:pPr>
      <w:r>
        <w:t xml:space="preserve">☑</w:t>
      </w:r>
      <w:r>
        <w:t xml:space="preserve"> </w:t>
      </w:r>
      <w:r>
        <w:rPr>
          <w:b/>
          <w:bCs/>
        </w:rPr>
        <w:t xml:space="preserve">AI declaration.</w:t>
      </w:r>
      <w:r>
        <w:t xml:space="preserve"> </w:t>
      </w:r>
      <w:r>
        <w:t xml:space="preserve">All AI-assisted content has been referenced and declared. The full disclosure (which tool, what it did, and how I checked it) is in the report’s Appendix E,</w:t>
      </w:r>
      <w:r>
        <w:t xml:space="preserve"> </w:t>
      </w:r>
      <w:r>
        <w:t xml:space="preserve">“AI use statement”</w:t>
      </w:r>
      <w:r>
        <w:t xml:space="preserve">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Student name</w:t>
            </w:r>
          </w:p>
        </w:tc>
        <w:tc>
          <w:tcPr/>
          <w:p>
            <w:pPr>
              <w:pStyle w:val="Compact"/>
            </w:pPr>
            <w:r>
              <w:t xml:space="preserve">Devadit Jain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Declaration</w:t>
            </w:r>
          </w:p>
        </w:tc>
        <w:tc>
          <w:tcPr/>
          <w:p>
            <w:pPr>
              <w:pStyle w:val="Compact"/>
            </w:pPr>
            <w:r>
              <w:t xml:space="preserve">☑ I confirm this is my own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/ date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(Sign and date on the official CREST form.)</w:t>
            </w:r>
          </w:p>
        </w:tc>
      </w:tr>
    </w:tbl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2026-07-05T02:57:50Z</dcterms:created>
  <dcterms:modified xsi:type="dcterms:W3CDTF">2026-07-05T02:57:50Z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