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 and page numbers</w:t>
      </w:r>
      <w:r>
        <w:t xml:space="preserve">, matched to the final exported PDF (draft v6, 16 pages). If the report is re-exported after any layout change, re-check the page numbers before transcribing.</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Verifying Identity from Typing Rhythm: An Open-Set Deep Metric Learning Approach</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 p. 2 (+ scorecard in §5, p. 7)</w:t>
            </w:r>
          </w:p>
        </w:tc>
        <w:tc>
          <w:tcPr/>
          <w:p>
            <w:pPr>
              <w:pStyle w:val="Compact"/>
            </w:pPr>
            <w:r>
              <w:t xml:space="preserve">One testable aim, split into five numbered objectives, each with an explicit "done when" test, then assessed against the results in §5.</w:t>
            </w:r>
          </w:p>
        </w:tc>
      </w:tr>
      <w:tr>
        <w:tc>
          <w:tcPr/>
          <w:p>
            <w:pPr>
              <w:pStyle w:val="Compact"/>
            </w:pPr>
            <w:r>
              <w:rPr>
                <w:b/>
                <w:bCs/>
              </w:rPr>
              <w:t xml:space="preserve">1.2</w:t>
            </w:r>
            <w:r>
              <w:t xml:space="preserve"> </w:t>
            </w:r>
            <w:r>
              <w:t xml:space="preserve">Explained a wider purpose</w:t>
            </w:r>
          </w:p>
        </w:tc>
        <w:tc>
          <w:tcPr/>
          <w:p>
            <w:pPr>
              <w:pStyle w:val="Compact"/>
            </w:pPr>
            <w:r>
              <w:t xml:space="preserve">§1, p. 2</w:t>
            </w:r>
          </w:p>
        </w:tc>
        <w:tc>
          <w:tcPr/>
          <w:p>
            <w:pPr>
              <w:pStyle w:val="Compact"/>
            </w:pPr>
            <w:r>
              <w:t xml:space="preserve">Account-takeover from stolen credentials as the real problem (88% of basic web-application attacks), plus the personal incident behind it.</w:t>
            </w:r>
          </w:p>
        </w:tc>
      </w:tr>
      <w:tr>
        <w:tc>
          <w:tcPr/>
          <w:p>
            <w:pPr>
              <w:pStyle w:val="Compact"/>
            </w:pPr>
            <w:r>
              <w:rPr>
                <w:b/>
                <w:bCs/>
              </w:rPr>
              <w:t xml:space="preserve">1.3</w:t>
            </w:r>
            <w:r>
              <w:t xml:space="preserve"> </w:t>
            </w:r>
            <w:r>
              <w:t xml:space="preserve">Identified a range of approaches</w:t>
            </w:r>
          </w:p>
        </w:tc>
        <w:tc>
          <w:tcPr/>
          <w:p>
            <w:pPr>
              <w:pStyle w:val="Compact"/>
            </w:pPr>
            <w:r>
              <w:t xml:space="preserve">§3, p. 5</w:t>
            </w:r>
          </w:p>
        </w:tc>
        <w:tc>
          <w:tcPr/>
          <w:p>
            <w:pPr>
              <w:pStyle w:val="Compact"/>
            </w:pPr>
            <w:r>
              <w:t xml:space="preserve">Three genuinely different designs (pure statistics / standard classifier / learned fingerprint) compared in a trade-off table across cost, phrase-independence, feasibility and deployment risk; the classifier ruled out and the hybrid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5–6</w:t>
            </w:r>
          </w:p>
        </w:tc>
        <w:tc>
          <w:tcPr/>
          <w:p>
            <w:pPr>
              <w:pStyle w:val="Compact"/>
            </w:pPr>
            <w:r>
              <w:t xml:space="preserve">The three-part research / serve / product design, and why running classical statistics inside a learned fingerprint is the core idea.</w:t>
            </w:r>
          </w:p>
        </w:tc>
      </w:tr>
      <w:tr>
        <w:tc>
          <w:tcPr/>
          <w:p>
            <w:pPr>
              <w:pStyle w:val="Compact"/>
            </w:pPr>
            <w:r>
              <w:rPr>
                <w:b/>
                <w:bCs/>
              </w:rPr>
              <w:t xml:space="preserve">1.5</w:t>
            </w:r>
            <w:r>
              <w:t xml:space="preserve"> </w:t>
            </w:r>
            <w:r>
              <w:t xml:space="preserve">Planned and organised my time</w:t>
            </w:r>
          </w:p>
        </w:tc>
        <w:tc>
          <w:tcPr/>
          <w:p>
            <w:pPr>
              <w:pStyle w:val="Compact"/>
            </w:pPr>
            <w:r>
              <w:t xml:space="preserve">§1, "How the project ran", p. 3</w:t>
            </w:r>
          </w:p>
        </w:tc>
        <w:tc>
          <w:tcPr/>
          <w:p>
            <w:pPr>
              <w:pStyle w:val="Compact"/>
            </w:pPr>
            <w:r>
              <w:t xml:space="preserve">A planned-vs-actual timeline of six dated build stages, reconstructed from the commit history (Nov 2025–Jul 2026): four-week slips on authentication and on the first biometric engine, absorbed by a planned April–May exam pause, and a two-week overrun on the write-up after the evaluation flaw forced every figure to be re-run (§4).</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Acknowledgements, p. 10 + App. B provenance, p. 12</w:t>
            </w:r>
          </w:p>
        </w:tc>
        <w:tc>
          <w:tcPr/>
          <w:p>
            <w:pPr>
              <w:pStyle w:val="Compact"/>
            </w:pPr>
            <w:r>
              <w:t xml:space="preserve">Every dataset, library, tool and standard named; an independent project, so the research community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 4 + References, pp. 10–11</w:t>
            </w:r>
          </w:p>
        </w:tc>
        <w:tc>
          <w:tcPr/>
          <w:p>
            <w:pPr>
              <w:pStyle w:val="Compact"/>
            </w:pPr>
            <w:r>
              <w:t xml:space="preserve">The background synthesises the field's trajectory (hand-built detectors → learned representations, via the ACM survey), brackets it between the 2009 benchmark and TypeNet as two worlds that never meet, and derives the project from the un-asked question between them; 16 references, all primary papers or standards.</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 p. 8</w:t>
            </w:r>
          </w:p>
        </w:tc>
        <w:tc>
          <w:tcPr/>
          <w:p>
            <w:pPr>
              <w:pStyle w:val="Compact"/>
            </w:pPr>
            <w:r>
              <w:t xml:space="preserve">The result answers the aim directly; implications drawn for account security, research, and (hedged)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§4, p. 6 + §8, p. 9</w:t>
            </w:r>
          </w:p>
        </w:tc>
        <w:tc>
          <w:tcPr/>
          <w:p>
            <w:pPr>
              <w:pStyle w:val="Compact"/>
            </w:pPr>
            <w:r>
              <w:t xml:space="preserve">The broken-test fix changed every number; and when tuning looked slightly better it failed on the real test, so I kept the original (App. C).</w:t>
            </w:r>
          </w:p>
        </w:tc>
      </w:tr>
      <w:tr>
        <w:tc>
          <w:tcPr/>
          <w:p>
            <w:pPr>
              <w:pStyle w:val="Compact"/>
            </w:pPr>
            <w:r>
              <w:rPr>
                <w:b/>
                <w:bCs/>
              </w:rPr>
              <w:t xml:space="preserve">3.3</w:t>
            </w:r>
            <w:r>
              <w:t xml:space="preserve"> </w:t>
            </w:r>
            <w:r>
              <w:t xml:space="preserve">What I learnt and would improve</w:t>
            </w:r>
          </w:p>
        </w:tc>
        <w:tc>
          <w:tcPr/>
          <w:p>
            <w:pPr>
              <w:pStyle w:val="Compact"/>
            </w:pPr>
            <w:r>
              <w:t xml:space="preserve">§8, p. 9</w:t>
            </w:r>
          </w:p>
        </w:tc>
        <w:tc>
          <w:tcPr/>
          <w:p>
            <w:pPr>
              <w:pStyle w:val="Compact"/>
            </w:pPr>
            <w:r>
              <w:t xml:space="preserve">Learning to distrust my own results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§2–§3, pp. 4–6 + App. C, pp. 14–16</w:t>
            </w:r>
          </w:p>
        </w:tc>
        <w:tc>
          <w:tcPr/>
          <w:p>
            <w:pPr>
              <w:pStyle w:val="Compact"/>
            </w:pPr>
            <w:r>
              <w:t xml:space="preserve">The science explained in plain terms in the body; the full model design, settings and statistics in the technical appendix — each deep mechanism (L2-normalisation, batch-hard triplets, Ledoit–Wolf shrinkage) explained in my own words as</w:t>
            </w:r>
            <w:r>
              <w:t xml:space="preserve"> </w:t>
            </w:r>
            <w:r>
              <w:rPr>
                <w:i/>
                <w:iCs/>
              </w:rPr>
              <w:t xml:space="preserve">why it works</w:t>
            </w:r>
            <w:r>
              <w:t xml:space="preserve">, not just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8–9</w:t>
            </w:r>
          </w:p>
        </w:tc>
        <w:tc>
          <w:tcPr/>
          <w:p>
            <w:pPr>
              <w:pStyle w:val="Compact"/>
            </w:pPr>
            <w:r>
              <w:t xml:space="preserve">Typing data as GDPR special-category; consent, data minimisation, fail-safe design, and the measured disparate impact (a 37× error spread).</w:t>
            </w:r>
          </w:p>
        </w:tc>
      </w:tr>
      <w:tr>
        <w:tc>
          <w:tcPr/>
          <w:p>
            <w:pPr>
              <w:pStyle w:val="Compact"/>
            </w:pPr>
            <w:r>
              <w:rPr>
                <w:b/>
                <w:bCs/>
              </w:rPr>
              <w:t xml:space="preserve">4.3</w:t>
            </w:r>
            <w:r>
              <w:t xml:space="preserve"> </w:t>
            </w:r>
            <w:r>
              <w:t xml:space="preserve">Creative thinking</w:t>
            </w:r>
          </w:p>
        </w:tc>
        <w:tc>
          <w:tcPr/>
          <w:p>
            <w:pPr>
              <w:pStyle w:val="Compact"/>
            </w:pPr>
            <w:r>
              <w:t xml:space="preserve">§3, p. 5</w:t>
            </w:r>
          </w:p>
        </w:tc>
        <w:tc>
          <w:tcPr/>
          <w:p>
            <w:pPr>
              <w:pStyle w:val="Compact"/>
            </w:pPr>
            <w:r>
              <w:t xml:space="preserve">The core idea: running a classical shrinkage-statistics decision-maker</w:t>
            </w:r>
            <w:r>
              <w:t xml:space="preserve"> </w:t>
            </w:r>
            <w:r>
              <w:rPr>
                <w:i/>
                <w:iCs/>
              </w:rPr>
              <w:t xml:space="preserve">inside</w:t>
            </w:r>
            <w:r>
              <w:t xml:space="preserve"> </w:t>
            </w:r>
            <w:r>
              <w:t xml:space="preserve">a learned fingerprint.</w:t>
            </w:r>
          </w:p>
        </w:tc>
      </w:tr>
      <w:tr>
        <w:tc>
          <w:tcPr/>
          <w:p>
            <w:pPr>
              <w:pStyle w:val="Compact"/>
            </w:pPr>
            <w:r>
              <w:rPr>
                <w:b/>
                <w:bCs/>
              </w:rPr>
              <w:t xml:space="preserve">4.4</w:t>
            </w:r>
            <w:r>
              <w:t xml:space="preserve"> </w:t>
            </w:r>
            <w:r>
              <w:t xml:space="preserve">Identified and overcame problems</w:t>
            </w:r>
          </w:p>
        </w:tc>
        <w:tc>
          <w:tcPr/>
          <w:p>
            <w:pPr>
              <w:pStyle w:val="Compact"/>
            </w:pPr>
            <w:r>
              <w:t xml:space="preserve">§4, p. 6</w:t>
            </w:r>
          </w:p>
        </w:tc>
        <w:tc>
          <w:tcPr/>
          <w:p>
            <w:pPr>
              <w:pStyle w:val="Compact"/>
            </w:pPr>
            <w:r>
              <w:t xml:space="preserve">Four problems told in full — the training/test leak, the live crash on a too-consistent typist, the all-zero-columns bug, and the never-measured ensemble — each with root cause, fix and outcome; the full log of thirteen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glossary, App. A, p. 11</w:t>
            </w:r>
          </w:p>
        </w:tc>
        <w:tc>
          <w:tcPr/>
          <w:p>
            <w:pPr>
              <w:pStyle w:val="Compact"/>
            </w:pPr>
            <w:r>
              <w:t xml:space="preserve">Written to be followed without a technical background — an everyday comparison for each hard idea, jargon in a glossary, and the depth kept in a technical appendix.</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broken-test mistake (§4) was eventually caught. AI assistance is disclosed in the report's AI-use note: Claude was used as a coding aid.</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what it did, and how I checked it — is in the report's</w:t>
      </w:r>
      <w:r>
        <w:t xml:space="preserve"> </w:t>
      </w:r>
      <w:r>
        <w:rPr>
          <w:b/>
          <w:bCs/>
        </w:rPr>
        <w:t xml:space="preserve">"A note on AI use"</w:t>
      </w:r>
      <w:r>
        <w:t xml:space="preserve"> </w:t>
      </w:r>
      <w:r>
        <w:t xml:space="preserve">section.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2026-07-04T14:34:00Z</dcterms:created>
  <dcterms:modified xsi:type="dcterms:W3CDTF">2026-07-04T14:34:00Z</dcterms:modified>
</cp:coreProperties>
</file>

<file path=docProps/custom.xml><?xml version="1.0" encoding="utf-8"?>
<Properties xmlns="http://schemas.openxmlformats.org/officeDocument/2006/custom-properties" xmlns:vt="http://schemas.openxmlformats.org/officeDocument/2006/docPropsVTypes"/>
</file>