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 the password was correct, so as far as the system knew, the attacker was me. This project asks whether the</w:t>
      </w:r>
      <w:r>
        <w:t xml:space="preserve"> </w:t>
      </w:r>
      <w:r>
        <w:rPr>
          <w:i/>
          <w:iCs/>
        </w:rPr>
        <w:t xml:space="preserve">way</w:t>
      </w:r>
      <w:r>
        <w:t xml:space="preserve"> </w:t>
      </w:r>
      <w:r>
        <w:t xml:space="preserve">a person types — their rhythm — could serve as a quiet second check that a stolen password cannot fake. I built a system that turns a burst of typing into a form of numerical fingerprint and decides whether a new burst matches. Tested on 51 people typing the same password, and judged only on people it had never seen, it was wrong about one decision in ten — good, but not quite good enough to beat the best method from a well-known 2009 study. This is an account of building it, of the mistake that nearly produced a far more impressive but entirely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p>
      <w:r>
        <w:pict>
          <v:rect style="width:0;height:1.5pt" o:hralign="center" o:hrstd="t" o:hr="t"/>
        </w:pic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attacks on web applications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observed</w:t>
      </w:r>
      <w:r>
        <w:t xml:space="preserve"> </w:t>
      </w:r>
      <w:r>
        <w:rPr>
          <w:i/>
          <w:iCs/>
        </w:rPr>
        <w:t xml:space="preserve">how</w:t>
      </w:r>
      <w:r>
        <w:t xml:space="preserve"> </w:t>
      </w:r>
      <w:r>
        <w:t xml:space="preserve">they already type? Typing has a rhythm. The small pauses, the keys held a fraction longer than others, the slight hesitation before a capital — it is as personal as an accent, and it arises from motor habits that are hard to fake deliberately. The idea is old: a century ago, telegraph operators could recognise one another by the rhythm of their tapping. What is new is that computers have only recently become capable of doing this from</w:t>
      </w:r>
      <w:r>
        <w:t xml:space="preserve"> </w:t>
      </w:r>
      <w:r>
        <w:rPr>
          <w:i/>
          <w:iCs/>
        </w:rPr>
        <w:t xml:space="preserve">anything</w:t>
      </w:r>
      <w:r>
        <w:t xml:space="preserve"> </w:t>
      </w:r>
      <w:r>
        <w:t xml:space="preserve">a person types, rather than one memorised phrase.</w:t>
      </w:r>
    </w:p>
    <w:p>
      <w:pPr>
        <w:pStyle w:val="BodyText"/>
      </w:pPr>
      <w:r>
        <w:t xml:space="preserve">That’s 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w:t>
      </w:r>
      <w:r>
        <w:t xml:space="preserve">— never</w:t>
      </w:r>
      <w:r>
        <w:t xml:space="preserve"> </w:t>
      </w:r>
      <w:r>
        <w:t xml:space="preserve">“let them in”</w:t>
      </w:r>
      <w:r>
        <w:t xml:space="preserve"> </w:t>
      </w:r>
      <w:r>
        <w:t xml:space="preserve">— on any breakage.</w:t>
      </w:r>
    </w:p>
    <w:p>
      <w:pPr>
        <w:pStyle w:val="FirstParagraph"/>
      </w:pPr>
      <w:r>
        <w:t xml:space="preserve">(I return to these five objectives at the end and assess each one honestly — §5 and §8.)</w:t>
      </w:r>
    </w:p>
    <w:p>
      <w:pPr>
        <w:pStyle w:val="BodyText"/>
      </w:pPr>
      <w:r>
        <w:rPr>
          <w:b/>
          <w:bCs/>
        </w:rPr>
        <w:t xml:space="preserve">How the project ran.</w:t>
      </w:r>
      <w:r>
        <w:t xml:space="preserve"> </w:t>
      </w:r>
      <w:r>
        <w:t xml:space="preserve">The work ran in four stages across seven months, about 84 hours in total. The dates come from the project’s commit history, not from memory.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r>
      <w:tr>
        <w:tc>
          <w:tcPr/>
          <w:p>
            <w:pPr>
              <w:pStyle w:val="Compact"/>
            </w:pPr>
            <w:r>
              <w:t xml:space="preserve">Typing app and keystroke capture</w:t>
            </w:r>
          </w:p>
        </w:tc>
        <w:tc>
          <w:tcPr/>
          <w:p>
            <w:pPr>
              <w:pStyle w:val="Compact"/>
            </w:pPr>
            <w:r>
              <w:t xml:space="preserve">Nov–Dec 2025</w:t>
            </w:r>
          </w:p>
        </w:tc>
        <w:tc>
          <w:tcPr/>
          <w:p>
            <w:pPr>
              <w:pStyle w:val="Compact"/>
            </w:pPr>
            <w:r>
              <w:t xml:space="preserve">Nov–Dec 2025</w:t>
            </w:r>
          </w:p>
        </w:tc>
      </w:tr>
      <w:tr>
        <w:tc>
          <w:tcPr/>
          <w:p>
            <w:pPr>
              <w:pStyle w:val="Compact"/>
            </w:pPr>
            <w:r>
              <w:t xml:space="preserve">Accounts and the first recognisers</w:t>
            </w:r>
          </w:p>
        </w:tc>
        <w:tc>
          <w:tcPr/>
          <w:p>
            <w:pPr>
              <w:pStyle w:val="Compact"/>
            </w:pPr>
            <w:r>
              <w:t xml:space="preserve">Jan–Feb 2026</w:t>
            </w:r>
          </w:p>
        </w:tc>
        <w:tc>
          <w:tcPr/>
          <w:p>
            <w:pPr>
              <w:pStyle w:val="Compact"/>
            </w:pPr>
            <w:r>
              <w:t xml:space="preserve">Feb–Mar 2026</w:t>
            </w:r>
          </w:p>
        </w:tc>
      </w:tr>
      <w:tr>
        <w:tc>
          <w:tcPr/>
          <w:p>
            <w:pPr>
              <w:pStyle w:val="Compact"/>
            </w:pPr>
            <w:r>
              <w:t xml:space="preserve">Deep-learning rebuild and open-set test</w:t>
            </w:r>
          </w:p>
        </w:tc>
        <w:tc>
          <w:tcPr/>
          <w:p>
            <w:pPr>
              <w:pStyle w:val="Compact"/>
            </w:pPr>
            <w:r>
              <w:t xml:space="preserve">Mar–Apr 2026</w:t>
            </w:r>
          </w:p>
        </w:tc>
        <w:tc>
          <w:tcPr/>
          <w:p>
            <w:pPr>
              <w:pStyle w:val="Compact"/>
            </w:pPr>
            <w:r>
              <w:t xml:space="preserve">Jun 2026</w:t>
            </w:r>
          </w:p>
        </w:tc>
      </w:tr>
      <w:tr>
        <w:tc>
          <w:tcPr/>
          <w:p>
            <w:pPr>
              <w:pStyle w:val="Compact"/>
            </w:pPr>
            <w:r>
              <w:t xml:space="preserve">Analysis and write-up</w:t>
            </w:r>
          </w:p>
        </w:tc>
        <w:tc>
          <w:tcPr/>
          <w:p>
            <w:pPr>
              <w:pStyle w:val="Compact"/>
            </w:pPr>
            <w:r>
              <w:t xml:space="preserve">May 2026</w:t>
            </w:r>
          </w:p>
        </w:tc>
        <w:tc>
          <w:tcPr/>
          <w:p>
            <w:pPr>
              <w:pStyle w:val="Compact"/>
            </w:pPr>
            <w:r>
              <w:t xml:space="preserve">Jun–Jul 2026</w:t>
            </w:r>
          </w:p>
        </w:tc>
      </w:tr>
    </w:tbl>
    <w:p>
      <w:pPr>
        <w:pStyle w:val="BodyText"/>
      </w:pPr>
      <w:r>
        <w:t xml:space="preserve">Two things slipped, both worth stating plainly. An eight-week exam pause over April and May stopped all work, so I settled every research decision on paper beforehand and ran the rebuild as one concentrated sprint in June. Then, midway through that sprint, I found the evaluation was flawed and had to rebuild it (§4), which meant re-running every figure that followed.</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 it concerns how a person acts, like a signature or a gait, rather than what their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must be read without relying on the words. Genuine, always-on security needs the hard version — and this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of that same promise. I worked on the easier version — the one with a clean, public benchmark to measure against — while building the machinery the harder version would later require.</w:t>
      </w:r>
    </w:p>
    <w:p>
      <w:pPr>
        <w:pStyle w:val="BodyText"/>
      </w:pPr>
      <w:r>
        <w:t xml:space="preserve">How, then, should such a system be scored? Any such system makes two opposite errors: it can admit an impostor, or reject the genuine user. The two trade off — tighten the system to catch more impostors and it begins to reject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notable point is that they never actually meet. In 2009, Killourhy and Maxion built the exact dataset I use — 51 people each typing the password</w:t>
      </w:r>
      <w:r>
        <w:t xml:space="preserve"> </w:t>
      </w:r>
      <w:r>
        <w:rPr>
          <w:rStyle w:val="VerbatimChar"/>
        </w:rPr>
        <w:t xml:space="preserve">.tie5Roanl</w:t>
      </w:r>
      <w:r>
        <w:t xml:space="preserve"> </w:t>
      </w:r>
      <w:r>
        <w:t xml:space="preserve">400 times —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precisely that journey, from hand-built statistical detectors in the 2000s to deep learned representations in the 2020s. What no one had examined is the crossing point between the two: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 does it beat the older hand-built method on its own ground, tested fairly on strangers? That un-examined question, in the gap between the two worlds,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 compare each new sample against a hand-built statistical profile of the user. Simple, well understood, and the basis of the 2009 benchmark — but tied to one fixed phrase, and dependent on a human to decide which features matter.</w:t>
      </w:r>
    </w:p>
    <w:p>
      <w:pPr>
        <w:pStyle w:val="Compact"/>
        <w:numPr>
          <w:ilvl w:val="0"/>
          <w:numId w:val="1003"/>
        </w:numPr>
      </w:pPr>
      <w:r>
        <w:rPr>
          <w:b/>
          <w:bCs/>
        </w:rPr>
        <w:t xml:space="preserve">A standard classifier</w:t>
      </w:r>
      <w:r>
        <w:t xml:space="preserve"> </w:t>
      </w:r>
      <w:r>
        <w:t xml:space="preserve">— train a network to sort typing into</w:t>
      </w:r>
      <w:r>
        <w:t xml:space="preserve"> </w:t>
      </w:r>
      <w:r>
        <w:t xml:space="preserve">“user 1, user 2, …”</w:t>
      </w:r>
      <w:r>
        <w:t xml:space="preserve">. Accurate, but it would have to be retrained from scratch every time a new user registers —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 build one statistical profile</w:t>
            </w:r>
          </w:p>
        </w:tc>
        <w:tc>
          <w:tcPr/>
          <w:p>
            <w:pPr>
              <w:pStyle w:val="Compact"/>
            </w:pPr>
            <w:r>
              <w:rPr>
                <w:b/>
                <w:bCs/>
              </w:rPr>
              <w:t xml:space="preserve">Yes</w:t>
            </w:r>
            <w:r>
              <w:t xml:space="preserve"> </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w:t>
            </w:r>
            <w:r>
              <w:t xml:space="preserve">— retrain the whole network every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 record ~12 of their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 a network cannot be retrained every time someone registers — which ruled it out despite being the most accurate on paper. Of the other two, the learned fingerprint wins on phrase-independence and on adapting to future needs, so I chose it and placed the first approach on top: the old, trusted statistics run</w:t>
      </w:r>
      <w:r>
        <w:t xml:space="preserve"> </w:t>
      </w:r>
      <w:r>
        <w:rPr>
          <w:i/>
          <w:iCs/>
        </w:rPr>
        <w:t xml:space="preserve">inside</w:t>
      </w:r>
      <w:r>
        <w:t xml:space="preserve"> </w:t>
      </w:r>
      <w:r>
        <w:t xml:space="preserve">the learned space. That hybrid — classical statistics on a learned fingerprint —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 the point’s position. The training uses the same method as face recognition: I present two samples from the same person and one from another, repeatedly, and adjust the network to draw the matching pair together and push the third away. Repeated hundreds of thousands of times, the clustering emerges on its own. (The exact network and settings are in Appendix C. It is small — it trains on a laptop in about 23 minutes and fingerprints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 no retraining — and set a personal threshold according to how consistent they are.</w:t>
      </w:r>
    </w:p>
    <w:p>
      <w:pPr>
        <w:pStyle w:val="BodyText"/>
      </w:pPr>
      <w:r>
        <w:t xml:space="preserve">Finally, I integrated it into a working application: the user consents, types a few times to enrol, and is verified on a new sample. If anything fails — the service is down, or the model is the wrong version —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The deployed system therefore does rank impostors below the real user. It also failed on its first run, in a revealing way — which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The number was not a deliberate deception; the code had quietly produced a flattering result, and I had been willing to accept it. That was the point at which the project became science — the point at which I began treating a good result as something to</w:t>
      </w:r>
      <w:r>
        <w:t xml:space="preserve"> </w:t>
      </w:r>
      <w:r>
        <w:rPr>
          <w:i/>
          <w:iCs/>
        </w:rPr>
        <w:t xml:space="preserve">attack</w:t>
      </w:r>
      <w:r>
        <w:t xml:space="preserve"> </w:t>
      </w:r>
      <w:r>
        <w:t xml:space="preserve">rather than to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 and the useful bugs were never the ones a test caught, but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caused a later calculation to overflow — something none of my test data, which was artificially varied, could have triggered. Only a real person did. On the first day, the real data file trained on all-zero timings, because its columns were named differently from my test fixture and my code read straight past them, reporting a plausible number throughout. And for a time,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 and correctly wiring it into the evaluation is the source of the 10.2% figure.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w:t>
            </w:r>
          </w:p>
        </w:tc>
      </w:tr>
    </w:tbl>
    <w:p>
      <w:pPr>
        <w:pStyle w:val="BodyText"/>
      </w:pPr>
      <w:r>
        <w:t xml:space="preserve">In plain terms: it works — it recognises strangers far better than chance, live and end to end. But on this small, fixed-password test it does</w:t>
      </w:r>
      <w:r>
        <w:t xml:space="preserve"> </w:t>
      </w:r>
      <w:r>
        <w:rPr>
          <w:i/>
          <w:iCs/>
        </w:rPr>
        <w:t xml:space="preserve">not</w:t>
      </w:r>
      <w:r>
        <w:t xml:space="preserve"> </w:t>
      </w:r>
      <w:r>
        <w:t xml:space="preserve">beat the 2009 hand-built method: 14.2% against 9.6%. An honest near-miss, not a success.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merely more accurate than the simple one (14.2%) —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On investigation, that steadiness comes almost entirely from one of the three distance measures (the more sophisticated one) — a specific finding, not a vague impression, and one that points to a straightforward future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not the average at all — it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those whose own typing is so inconsistent that it overlaps with everyone else’s. The real ceiling here, then, is not the model — it is how little identifying information an 11-key password contains.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corresponds to the hard-to-recognise group. The picture and the numbers agree. And when I tried to improve matters — more training, more samples per person — nothing helped, and the model’s internal measure showed that it had already learned everything the short password</w:t>
      </w:r>
      <w:r>
        <w:t xml:space="preserve"> </w:t>
      </w:r>
      <w:r>
        <w:rPr>
          <w:i/>
          <w:iCs/>
        </w:rPr>
        <w:t xml:space="preserve">can</w:t>
      </w:r>
      <w:r>
        <w:t xml:space="preserve"> </w:t>
      </w:r>
      <w:r>
        <w:t xml:space="preserve">teach. More effort cannot extract information that is not there. (The experiments behind all of this are in Appendix C.)</w:t>
      </w:r>
    </w:p>
    <w:p>
      <w:pPr>
        <w:pStyle w:val="BodyText"/>
      </w:pPr>
      <w:r>
        <w:t xml:space="preserve">Did the five objectives I set myself (§1) hold up? For the most part, and I can point to where. The fingerprint works and runs in milliseconds on an ordinary laptop (O1); it clusters strangers it never trained on, as Figure B.2 shows (O2); the score is honest —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 an attacker holding your stolen password must still type as you do, at no extra effort to you; run continuously, it could even detect that the person mid-session had changed. It does not beat a good hand-built method on small, fixed-text data. And the genuinely useful finding is narrower, and more interesting, than</w:t>
      </w:r>
      <w:r>
        <w:t xml:space="preserve"> </w:t>
      </w:r>
      <w:r>
        <w:t xml:space="preserve">“my model is good”</w:t>
      </w:r>
      <w:r>
        <w:t xml:space="preserve">: placing classical statistics on top of a learned fingerprint makes the decision</w:t>
      </w:r>
      <w:r>
        <w:t xml:space="preserve"> </w:t>
      </w:r>
      <w:r>
        <w:rPr>
          <w:i/>
          <w:iCs/>
        </w:rPr>
        <w:t xml:space="preserve">more stable</w:t>
      </w:r>
      <w:r>
        <w:t xml:space="preserve">, and I can identify exactly which component is responsible. The contribution here is not a new accuracy record — it is an honest, reproducible measurement that a classical verifier run</w:t>
      </w:r>
      <w:r>
        <w:t xml:space="preserve"> </w:t>
      </w:r>
      <w:r>
        <w:rPr>
          <w:i/>
          <w:iCs/>
        </w:rPr>
        <w:t xml:space="preserve">inside</w:t>
      </w:r>
      <w:r>
        <w:t xml:space="preserve"> </w:t>
      </w:r>
      <w:r>
        <w:t xml:space="preserve">a learned fingerprint is steadier than either half alone, with the single component responsible identified and every failure mode recorded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 but that 2.2% is bought with internet-scale data I simply do not have. I also tested my design against a Transformer, the architecture behind most of today’s best-known AI models, under identical conditions; it performed clearly worse, and less reliably (19.8%). On data this small, the built-in assumptions of my simpler design about timing and sequence outperform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 the free-typing version is built, but not yet measured on a large corpus. And the confidence</w:t>
      </w:r>
      <w:r>
        <w:t xml:space="preserve"> </w:t>
      </w:r>
      <w:r>
        <w:rPr>
          <w:i/>
          <w:iCs/>
        </w:rPr>
        <w:t xml:space="preserve">percentage</w:t>
      </w:r>
      <w:r>
        <w:t xml:space="preserve"> </w:t>
      </w:r>
      <w:r>
        <w:t xml:space="preserve">the product displays is not yet calibrated, although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 which shaped every decision below.</w:t>
      </w:r>
    </w:p>
    <w:p>
      <w:pPr>
        <w:pStyle w:val="Compact"/>
        <w:numPr>
          <w:ilvl w:val="0"/>
          <w:numId w:val="1004"/>
        </w:numPr>
      </w:pPr>
      <w:r>
        <w:rPr>
          <w:b/>
          <w:bCs/>
        </w:rPr>
        <w:t xml:space="preserve">I used public, anonymous data —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 that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single most important thing I learned was not a technique — it was to distrust my own results. My first evaluation produced a number I was delighted with, and it was worthless (§4). Recognising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conceals the trade-off that actually matters.</w:t>
      </w:r>
    </w:p>
    <w:p>
      <w:pPr>
        <w:pStyle w:val="BodyText"/>
      </w:pPr>
      <w:r>
        <w:t xml:space="preserve">Working without a mentor had both costs and benefits. Every check on my work was one I carried out myself, which is probably why I eventually caught the flaw — I had learned to doubt my own code. But it is also precisely where working alone was a disadvantage: there was no one to look over my shoulder and ask whether those were my own training subjects. I made the mistake, and for a time I was the only person who could have caught it — and I did not. So if I were to do it again, I would write the entire evaluation procedure down</w:t>
      </w:r>
      <w:r>
        <w:t xml:space="preserve"> </w:t>
      </w:r>
      <w:r>
        <w:rPr>
          <w:i/>
          <w:iCs/>
        </w:rPr>
        <w:t xml:space="preserve">before</w:t>
      </w:r>
      <w:r>
        <w:t xml:space="preserve"> </w:t>
      </w:r>
      <w:r>
        <w:t xml:space="preserve">writing any of the code for it — on paper, the leak would have been obvious — and I would find one person permitted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 with the §7 safeguards built in from the outset.</w:t>
      </w:r>
    </w:p>
    <w:p>
      <w:pPr>
        <w:pStyle w:val="FirstParagraph"/>
      </w:pPr>
      <w:r>
        <w:t xml:space="preserve">I set out to determine, honestly, whether the way a person types could serve as a quiet second lock on their identity. It can — not a perfect one, and not yet better than a fifteen-year-old benchmark on a test this small, but a real one, measured and reproducible, built by someone who learned, the hard way, to stop trusting his own good news.</w:t>
      </w:r>
    </w:p>
    <w:p>
      <w:r>
        <w:pict>
          <v:rect style="width:0;height:1.5pt" o:hralign="center" o:hrstd="t" o:hr="t"/>
        </w:pic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across the project’s whole span (November 2025 – July 2026; the dated trail is in the commit history), for: first drafts of some functions, which I reviewed, ran and tested; help hunting bugs; surfacing papers, each of which I checked against the original before citing; and drafting and tightening this report, which I edited into my own voice. It produced no number in this report —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 Glossary</w:t>
      </w:r>
    </w:p>
    <w:p>
      <w:pPr>
        <w:pStyle w:val="Compact"/>
        <w:numPr>
          <w:ilvl w:val="0"/>
          <w:numId w:val="1007"/>
        </w:numPr>
      </w:pPr>
      <w:r>
        <w:rPr>
          <w:b/>
          <w:bCs/>
        </w:rPr>
        <w:t xml:space="preserve">Biometric</w:t>
      </w:r>
      <w:r>
        <w:t xml:space="preserve"> </w:t>
      </w:r>
      <w:r>
        <w:t xml:space="preserve">— 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 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 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 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 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 the same-person sample that landed farthest away and the different-person sample that landed closest —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 not the pooled-score EER, which mixes subjects with different score scales (pooled, seed 42: 16.1%). Two scorers (scaled-Manhattan headline; full ensemble secondary), never cross-compared. Seeds 42/43/44 for the headline; 14 seeds for the ensemble-vs-primary comparison —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 one global threshold, so these are</w:t>
      </w:r>
      <w:r>
        <w:t xml:space="preserve"> </w:t>
      </w:r>
      <w:r>
        <w:rPr>
          <w:i/>
          <w:iCs/>
        </w:rPr>
        <w:t xml:space="preserve">more pessimistic</w:t>
      </w:r>
      <w:r>
        <w:t xml:space="preserve"> </w:t>
      </w:r>
      <w:r>
        <w:t xml:space="preserve">than the per-user thresholds actually deployed —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2026-07-03T15:12:16Z</dcterms:created>
  <dcterms:modified xsi:type="dcterms:W3CDTF">2026-07-03T15:12:16Z</dcterms:modified>
</cp:coreProperties>
</file>

<file path=docProps/custom.xml><?xml version="1.0" encoding="utf-8"?>
<Properties xmlns="http://schemas.openxmlformats.org/officeDocument/2006/custom-properties" xmlns:vt="http://schemas.openxmlformats.org/officeDocument/2006/docPropsVTypes"/>
</file>