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It is the assessor's map: for each of the 15 criteria you point to</w:t>
      </w:r>
      <w:r>
        <w:t xml:space="preserve"> </w:t>
      </w:r>
      <w:r>
        <w:rPr>
          <w:i/>
          <w:iCs/>
        </w:rPr>
        <w:t xml:space="preserve">where in the report</w:t>
      </w:r>
      <w:r>
        <w:t xml:space="preserve"> </w:t>
      </w:r>
      <w:r>
        <w:t xml:space="preserve">you show it, with an optional short note. This file mirrors the official form (download and transcribe at</w:t>
      </w:r>
      <w:r>
        <w:t xml:space="preserve"> </w:t>
      </w:r>
      <w:hyperlink r:id="rId9">
        <w:r>
          <w:rPr>
            <w:rStyle w:val="Hyperlink"/>
          </w:rPr>
          <w:t xml:space="preserve">https://www.crestawards.org/resources/crest-gold-student-profile-form/</w:t>
        </w:r>
      </w:hyperlink>
      <w:r>
        <w:t xml:space="preserve">). The "Where" column cites report</w:t>
      </w:r>
      <w:r>
        <w:t xml:space="preserve"> </w:t>
      </w:r>
      <w:r>
        <w:rPr>
          <w:b/>
          <w:bCs/>
        </w:rPr>
        <w:t xml:space="preserve">sections</w:t>
      </w:r>
      <w:r>
        <w:t xml:space="preserve">; after you export the report to PDF, add the page (and paragraph) numbers the official form asks for, because pagination shifts on export.</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 team member's 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Can you be recognised by the way you type? Building and testing an open-set keystroke-dynamics verification system</w:t>
            </w:r>
          </w:p>
        </w:tc>
      </w:tr>
      <w:tr>
        <w:tc>
          <w:tcPr/>
          <w:p>
            <w:pPr>
              <w:pStyle w:val="Compact"/>
            </w:pPr>
            <w:r>
              <w:t xml:space="preserve">Mentor name</w:t>
            </w:r>
          </w:p>
        </w:tc>
        <w:tc>
          <w:tcPr/>
          <w:p>
            <w:pPr>
              <w:pStyle w:val="Compact"/>
            </w:pPr>
            <w:r>
              <w:t xml:space="preserve">None — independent project (see the note at the end)</w:t>
            </w:r>
          </w:p>
        </w:tc>
      </w:tr>
    </w:tbl>
    <w:p>
      <w:r>
        <w:pict>
          <v:rect style="width:0;height:1.5pt" o:hralign="center" o:hrstd="t" o:hr="t"/>
        </w:pict>
      </w:r>
    </w:p>
    <w:bookmarkStart w:id="14" w:name="criteria-checklist"/>
    <w:p>
      <w:pPr>
        <w:pStyle w:val="Heading2"/>
      </w:pPr>
      <w:r>
        <w:t xml:space="preserve">Criteria checklist</w:t>
      </w:r>
    </w:p>
    <w:p>
      <w:pPr>
        <w:pStyle w:val="FirstParagraph"/>
      </w:pPr>
      <w:r>
        <w:rPr>
          <w:i/>
          <w:iCs/>
        </w:rPr>
        <w:t xml:space="preserve">Notes to the assessor are optional and deliberately brief — the evidence is in the report section named.</w:t>
      </w:r>
    </w:p>
    <w:bookmarkStart w:id="10" w:name="X6cfab65be3a0f1bf00cf97b9710ac6a8040ae40"/>
    <w:p>
      <w:pPr>
        <w:pStyle w:val="Heading3"/>
      </w:pPr>
      <w:r>
        <w:t xml:space="preserve">1 — Planning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1.1</w:t>
            </w:r>
            <w:r>
              <w:t xml:space="preserve"> </w:t>
            </w:r>
            <w:r>
              <w:t xml:space="preserve">Set a clear aim, broken into smaller objectives</w:t>
            </w:r>
          </w:p>
        </w:tc>
        <w:tc>
          <w:tcPr/>
          <w:p>
            <w:pPr>
              <w:pStyle w:val="Compact"/>
            </w:pPr>
            <w:r>
              <w:t xml:space="preserve">§1.2</w:t>
            </w:r>
          </w:p>
        </w:tc>
        <w:tc>
          <w:tcPr/>
          <w:p>
            <w:pPr>
              <w:pStyle w:val="Compact"/>
            </w:pPr>
            <w:r>
              <w:t xml:space="preserve">One testable aim, split into six objectives each with a checkable success condition.</w:t>
            </w:r>
          </w:p>
        </w:tc>
      </w:tr>
      <w:tr>
        <w:tc>
          <w:tcPr/>
          <w:p>
            <w:pPr>
              <w:pStyle w:val="Compact"/>
            </w:pPr>
            <w:r>
              <w:rPr>
                <w:b/>
                <w:bCs/>
              </w:rPr>
              <w:t xml:space="preserve">1.2</w:t>
            </w:r>
            <w:r>
              <w:t xml:space="preserve"> </w:t>
            </w:r>
            <w:r>
              <w:t xml:space="preserve">Explained a wider purpose</w:t>
            </w:r>
          </w:p>
        </w:tc>
        <w:tc>
          <w:tcPr/>
          <w:p>
            <w:pPr>
              <w:pStyle w:val="Compact"/>
            </w:pPr>
            <w:r>
              <w:t xml:space="preserve">§1.1</w:t>
            </w:r>
          </w:p>
        </w:tc>
        <w:tc>
          <w:tcPr/>
          <w:p>
            <w:pPr>
              <w:pStyle w:val="Compact"/>
            </w:pPr>
            <w:r>
              <w:t xml:space="preserve">Account-takeover from stolen credentials as the real problem; who a silent second factor helps.</w:t>
            </w:r>
          </w:p>
        </w:tc>
      </w:tr>
      <w:tr>
        <w:tc>
          <w:tcPr/>
          <w:p>
            <w:pPr>
              <w:pStyle w:val="Compact"/>
            </w:pPr>
            <w:r>
              <w:rPr>
                <w:b/>
                <w:bCs/>
              </w:rPr>
              <w:t xml:space="preserve">1.3</w:t>
            </w:r>
            <w:r>
              <w:t xml:space="preserve"> </w:t>
            </w:r>
            <w:r>
              <w:t xml:space="preserve">Identified a range of approaches</w:t>
            </w:r>
          </w:p>
        </w:tc>
        <w:tc>
          <w:tcPr/>
          <w:p>
            <w:pPr>
              <w:pStyle w:val="Compact"/>
            </w:pPr>
            <w:r>
              <w:t xml:space="preserve">§3.1</w:t>
            </w:r>
          </w:p>
        </w:tc>
        <w:tc>
          <w:tcPr/>
          <w:p>
            <w:pPr>
              <w:pStyle w:val="Compact"/>
            </w:pPr>
            <w:r>
              <w:t xml:space="preserve">Three verifier designs compared (statistical / deep classifier / metric embedding) and the choice justified.</w:t>
            </w:r>
          </w:p>
        </w:tc>
      </w:tr>
      <w:tr>
        <w:tc>
          <w:tcPr/>
          <w:p>
            <w:pPr>
              <w:pStyle w:val="Compact"/>
            </w:pPr>
            <w:r>
              <w:rPr>
                <w:b/>
                <w:bCs/>
              </w:rPr>
              <w:t xml:space="preserve">1.4</w:t>
            </w:r>
            <w:r>
              <w:t xml:space="preserve"> </w:t>
            </w:r>
            <w:r>
              <w:t xml:space="preserve">Described the plan and why I chose it</w:t>
            </w:r>
          </w:p>
        </w:tc>
        <w:tc>
          <w:tcPr/>
          <w:p>
            <w:pPr>
              <w:pStyle w:val="Compact"/>
            </w:pPr>
            <w:r>
              <w:t xml:space="preserve">§3.1–3.2</w:t>
            </w:r>
          </w:p>
        </w:tc>
        <w:tc>
          <w:tcPr/>
          <w:p>
            <w:pPr>
              <w:pStyle w:val="Compact"/>
            </w:pPr>
            <w:r>
              <w:t xml:space="preserve">The three-part research / serve / product architecture and why that separation makes the science and the product trustworthy.</w:t>
            </w:r>
          </w:p>
        </w:tc>
      </w:tr>
      <w:tr>
        <w:tc>
          <w:tcPr/>
          <w:p>
            <w:pPr>
              <w:pStyle w:val="Compact"/>
            </w:pPr>
            <w:r>
              <w:rPr>
                <w:b/>
                <w:bCs/>
              </w:rPr>
              <w:t xml:space="preserve">1.5</w:t>
            </w:r>
            <w:r>
              <w:t xml:space="preserve"> </w:t>
            </w:r>
            <w:r>
              <w:t xml:space="preserve">Planned and organised my time</w:t>
            </w:r>
          </w:p>
        </w:tc>
        <w:tc>
          <w:tcPr/>
          <w:p>
            <w:pPr>
              <w:pStyle w:val="Compact"/>
            </w:pPr>
            <w:r>
              <w:t xml:space="preserve">§1.3</w:t>
            </w:r>
          </w:p>
        </w:tc>
        <w:tc>
          <w:tcPr/>
          <w:p>
            <w:pPr>
              <w:pStyle w:val="Compact"/>
            </w:pPr>
            <w:r>
              <w:t xml:space="preserve">Four dated stages, each gating the next, plus the two replanning decisions and their reasons.</w:t>
            </w:r>
          </w:p>
        </w:tc>
      </w:tr>
    </w:tbl>
    <w:bookmarkEnd w:id="10"/>
    <w:bookmarkStart w:id="11" w:name="X520c0f612a91cd248d10fa32b8af57b45697481"/>
    <w:p>
      <w:pPr>
        <w:pStyle w:val="Heading3"/>
      </w:pPr>
      <w:r>
        <w:t xml:space="preserve">2 — Throughout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§10 (+ §3)</w:t>
            </w:r>
          </w:p>
        </w:tc>
        <w:tc>
          <w:tcPr/>
          <w:p>
            <w:pPr>
              <w:pStyle w:val="Compact"/>
            </w:pPr>
            <w:r>
              <w:t xml:space="preserve">Every dataset, library, tool and standard named; an independent project, so the research community stood in for a mentor — stated honestly.</w:t>
            </w:r>
          </w:p>
        </w:tc>
      </w:tr>
      <w:tr>
        <w:tc>
          <w:tcPr/>
          <w:p>
            <w:pPr>
              <w:pStyle w:val="Compact"/>
            </w:pPr>
            <w:r>
              <w:rPr>
                <w:b/>
                <w:bCs/>
              </w:rPr>
              <w:t xml:space="preserve">2.2</w:t>
            </w:r>
            <w:r>
              <w:t xml:space="preserve"> </w:t>
            </w:r>
            <w:r>
              <w:t xml:space="preserve">Researched the background, acknowledged sources</w:t>
            </w:r>
          </w:p>
        </w:tc>
        <w:tc>
          <w:tcPr/>
          <w:p>
            <w:pPr>
              <w:pStyle w:val="Compact"/>
            </w:pPr>
            <w:r>
              <w:t xml:space="preserve">§2 + §12</w:t>
            </w:r>
          </w:p>
        </w:tc>
        <w:tc>
          <w:tcPr/>
          <w:p>
            <w:pPr>
              <w:pStyle w:val="Compact"/>
            </w:pPr>
            <w:r>
              <w:t xml:space="preserve">A synthesised literature review that locates a specific gap, with author–date references and a fuller dossier.</w:t>
            </w:r>
          </w:p>
        </w:tc>
      </w:tr>
    </w:tbl>
    <w:bookmarkEnd w:id="11"/>
    <w:bookmarkStart w:id="12" w:name="Xaea5c2b13af17948bf1522d065678cd46ea280f"/>
    <w:p>
      <w:pPr>
        <w:pStyle w:val="Heading3"/>
      </w:pPr>
      <w:r>
        <w:t xml:space="preserve">3 — Finalising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§5 + §8</w:t>
            </w:r>
          </w:p>
        </w:tc>
        <w:tc>
          <w:tcPr/>
          <w:p>
            <w:pPr>
              <w:pStyle w:val="Compact"/>
            </w:pPr>
            <w:r>
              <w:t xml:space="preserve">Results answer the aim directly; implications drawn for account security, research, and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§7 + §9</w:t>
            </w:r>
          </w:p>
        </w:tc>
        <w:tc>
          <w:tcPr/>
          <w:p>
            <w:pPr>
              <w:pStyle w:val="Compact"/>
            </w:pPr>
            <w:r>
              <w:t xml:space="preserve">The closed-set fix changed every number; refusing a noisy tuning "win" (§4.4) kept the headline honest.</w:t>
            </w:r>
          </w:p>
        </w:tc>
      </w:tr>
      <w:tr>
        <w:tc>
          <w:tcPr/>
          <w:p>
            <w:pPr>
              <w:pStyle w:val="Compact"/>
            </w:pPr>
            <w:r>
              <w:rPr>
                <w:b/>
                <w:bCs/>
              </w:rPr>
              <w:t xml:space="preserve">3.3</w:t>
            </w:r>
            <w:r>
              <w:t xml:space="preserve"> </w:t>
            </w:r>
            <w:r>
              <w:t xml:space="preserve">What I learnt and would improve</w:t>
            </w:r>
          </w:p>
        </w:tc>
        <w:tc>
          <w:tcPr/>
          <w:p>
            <w:pPr>
              <w:pStyle w:val="Compact"/>
            </w:pPr>
            <w:r>
              <w:t xml:space="preserve">§9</w:t>
            </w:r>
          </w:p>
        </w:tc>
        <w:tc>
          <w:tcPr/>
          <w:p>
            <w:pPr>
              <w:pStyle w:val="Compact"/>
            </w:pPr>
            <w:r>
              <w:t xml:space="preserve">Closed-vs-open-set as the key lesson, working solo, and what I'd change next time.</w:t>
            </w:r>
          </w:p>
        </w:tc>
      </w:tr>
    </w:tbl>
    <w:bookmarkEnd w:id="12"/>
    <w:bookmarkStart w:id="13" w:name="Xcc2854fb62fb96be2cd4ea4c5d997c189787199"/>
    <w:p>
      <w:pPr>
        <w:pStyle w:val="Heading3"/>
      </w:pPr>
      <w:r>
        <w:t xml:space="preserve">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§2 + §3 + App. C</w:t>
            </w:r>
          </w:p>
        </w:tc>
        <w:tc>
          <w:tcPr/>
          <w:p>
            <w:pPr>
              <w:pStyle w:val="Compact"/>
            </w:pPr>
            <w:r>
              <w:t xml:space="preserve">The science explained in plain terms in the body; the full model design, settings and statistics (metric learning, triplet loss, Ledoit–Wolf/Mahalanobis, EER) in the technical appendix.</w:t>
            </w:r>
          </w:p>
        </w:tc>
      </w:tr>
      <w:tr>
        <w:tc>
          <w:tcPr/>
          <w:p>
            <w:pPr>
              <w:pStyle w:val="Compact"/>
            </w:pPr>
            <w:r>
              <w:rPr>
                <w:b/>
                <w:bCs/>
              </w:rPr>
              <w:t xml:space="preserve">4.2</w:t>
            </w:r>
            <w:r>
              <w:t xml:space="preserve"> </w:t>
            </w:r>
            <w:r>
              <w:t xml:space="preserve">Ethics and safety decisions</w:t>
            </w:r>
          </w:p>
        </w:tc>
        <w:tc>
          <w:tcPr/>
          <w:p>
            <w:pPr>
              <w:pStyle w:val="Compact"/>
            </w:pPr>
            <w:r>
              <w:t xml:space="preserve">§6</w:t>
            </w:r>
          </w:p>
        </w:tc>
        <w:tc>
          <w:tcPr/>
          <w:p>
            <w:pPr>
              <w:pStyle w:val="Compact"/>
            </w:pPr>
            <w:r>
              <w:t xml:space="preserve">Typing data as GDPR special-category; consent, data minimisation, fail-safe design, disparate impact.</w:t>
            </w:r>
          </w:p>
        </w:tc>
      </w:tr>
      <w:tr>
        <w:tc>
          <w:tcPr/>
          <w:p>
            <w:pPr>
              <w:pStyle w:val="Compact"/>
            </w:pPr>
            <w:r>
              <w:rPr>
                <w:b/>
                <w:bCs/>
              </w:rPr>
              <w:t xml:space="preserve">4.3</w:t>
            </w:r>
            <w:r>
              <w:t xml:space="preserve"> </w:t>
            </w:r>
            <w:r>
              <w:t xml:space="preserve">Creative thinking</w:t>
            </w:r>
          </w:p>
        </w:tc>
        <w:tc>
          <w:tcPr/>
          <w:p>
            <w:pPr>
              <w:pStyle w:val="Compact"/>
            </w:pPr>
            <w:r>
              <w:t xml:space="preserve">§3.1 + §5.2</w:t>
            </w:r>
          </w:p>
        </w:tc>
        <w:tc>
          <w:tcPr/>
          <w:p>
            <w:pPr>
              <w:pStyle w:val="Compact"/>
            </w:pPr>
            <w:r>
              <w:t xml:space="preserve">The core idea: running a classical shrinkage-statistics ensemble</w:t>
            </w:r>
            <w:r>
              <w:t xml:space="preserve"> </w:t>
            </w:r>
            <w:r>
              <w:rPr>
                <w:i/>
                <w:iCs/>
              </w:rPr>
              <w:t xml:space="preserve">inside</w:t>
            </w:r>
            <w:r>
              <w:t xml:space="preserve"> </w:t>
            </w:r>
            <w:r>
              <w:t xml:space="preserve">a learned embedding space.</w:t>
            </w:r>
          </w:p>
        </w:tc>
      </w:tr>
      <w:tr>
        <w:tc>
          <w:tcPr/>
          <w:p>
            <w:pPr>
              <w:pStyle w:val="Compact"/>
            </w:pPr>
            <w:r>
              <w:rPr>
                <w:b/>
                <w:bCs/>
              </w:rPr>
              <w:t xml:space="preserve">4.4</w:t>
            </w:r>
            <w:r>
              <w:t xml:space="preserve"> </w:t>
            </w:r>
            <w:r>
              <w:t xml:space="preserve">Identified and overcame problems</w:t>
            </w:r>
          </w:p>
        </w:tc>
        <w:tc>
          <w:tcPr/>
          <w:p>
            <w:pPr>
              <w:pStyle w:val="Compact"/>
            </w:pPr>
            <w:r>
              <w:t xml:space="preserve">§7</w:t>
            </w:r>
          </w:p>
        </w:tc>
        <w:tc>
          <w:tcPr/>
          <w:p>
            <w:pPr>
              <w:pStyle w:val="Compact"/>
            </w:pPr>
            <w:r>
              <w:t xml:space="preserve">Thirteen problems in problem → root cause → fix → verified form, including a crash only the live system revealed.</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 App. A</w:t>
            </w:r>
          </w:p>
        </w:tc>
        <w:tc>
          <w:tcPr/>
          <w:p>
            <w:pPr>
              <w:pStyle w:val="Compact"/>
            </w:pPr>
            <w:r>
              <w:t xml:space="preserve">Written to be followed without a technical background (a "how to read" note, an everyday comparison for each hard idea, jargon in a glossary), with the depth kept in the technical appendix.</w:t>
            </w:r>
          </w:p>
        </w:tc>
      </w:tr>
    </w:tbl>
    <w:p>
      <w:r>
        <w:pict>
          <v:rect style="width:0;height:1.5pt" o:hralign="center" o:hrstd="t" o:hr="t"/>
        </w:pict>
      </w:r>
    </w:p>
    <w:bookmarkEnd w:id="13"/>
    <w:bookmarkEnd w:id="14"/>
    <w:bookmarkStart w:id="15" w:name="personal-reflections"/>
    <w:p>
      <w:pPr>
        <w:pStyle w:val="Heading2"/>
      </w:pPr>
      <w:r>
        <w:t xml:space="preserve">Personal reflections</w:t>
      </w:r>
    </w:p>
    <w:p>
      <w:pPr>
        <w:pStyle w:val="FirstParagraph"/>
      </w:pPr>
      <w:r>
        <w:rPr>
          <w:i/>
          <w:iCs/>
        </w:rPr>
        <w:t xml:space="preserve">(These are written from the real project history and are mine to refine — read each through and adjust the phrasing into my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with stolen credentials, and the password had "worked" perfectly for the attacker — a password proves knowledge of a secret, not identity. I wanted to know whether</w:t>
      </w:r>
      <w:r>
        <w:t xml:space="preserve"> </w:t>
      </w:r>
      <w:r>
        <w:rPr>
          <w:i/>
          <w:iCs/>
        </w:rPr>
        <w:t xml:space="preserve">how</w:t>
      </w:r>
      <w:r>
        <w:t xml:space="preserve"> </w:t>
      </w:r>
      <w:r>
        <w:t xml:space="preserve">a person types could be a quiet extra layer a stolen password can't defeat.</w:t>
      </w:r>
    </w:p>
    <w:p>
      <w:pPr>
        <w:pStyle w:val="BodyText"/>
      </w:pPr>
      <w:r>
        <w:rPr>
          <w:b/>
          <w:bCs/>
        </w:rPr>
        <w:t xml:space="preserve">How it was / wasn't successful.</w:t>
      </w:r>
      <w:r>
        <w:t xml:space="preserve"> </w:t>
      </w:r>
      <w:r>
        <w:t xml:space="preserve">It produced an honest, reproducible open-set result (14.2% primary / 10.2% ensemble EER on 16 unseen subjects) and a working live system, and a nested-validation ablation confirmed the configuration was near-optimal. It did</w:t>
      </w:r>
      <w:r>
        <w:t xml:space="preserve"> </w:t>
      </w:r>
      <w:r>
        <w:rPr>
          <w:i/>
          <w:iCs/>
        </w:rPr>
        <w:t xml:space="preserve">not</w:t>
      </w:r>
      <w:r>
        <w:t xml:space="preserve"> </w:t>
      </w:r>
      <w:r>
        <w:t xml:space="preserve">beat the 9.6% published baseline on the headline metric — and I reported that rather than switch to a more flattering protocol. The real success was the rigour of the evaluation.</w:t>
      </w:r>
    </w:p>
    <w:p>
      <w:pPr>
        <w:pStyle w:val="BodyText"/>
      </w:pPr>
      <w:r>
        <w:rPr>
          <w:b/>
          <w:bCs/>
        </w:rPr>
        <w:t xml:space="preserve">What I learnt.</w:t>
      </w:r>
      <w:r>
        <w:t xml:space="preserve"> </w:t>
      </w:r>
      <w:r>
        <w:t xml:space="preserve">The difference between closed- and open-set evaluation, and how easily a flawed protocol produces an impressive-but-meaningless number; why biometrics are measured by EER/DET rather than accuracy; that reproducibility (pinned data, fixed seeds, one-command rerun) is what turns a claim into a result; and that selecting hyperparameters on a small validation fold can overfit noise, so a number that "looks better" can generalise worse. Working without a mentor, I learnt to be my own sceptic.</w:t>
      </w:r>
    </w:p>
    <w:p>
      <w:pPr>
        <w:pStyle w:val="BodyText"/>
      </w:pPr>
      <w:r>
        <w:rPr>
          <w:b/>
          <w:bCs/>
        </w:rPr>
        <w:t xml:space="preserve">What impact it might have on others.</w:t>
      </w:r>
      <w:r>
        <w:t xml:space="preserve"> </w:t>
      </w:r>
      <w:r>
        <w:t xml:space="preserve">Even a 10%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improve.</w:t>
      </w:r>
      <w:r>
        <w:t xml:space="preserve"> </w:t>
      </w:r>
      <w:r>
        <w:t xml:space="preserve">Calibrate the confidence scale; run the free-text model on a real large corpus (Aalto); train at scale on GPU; collect a small</w:t>
      </w:r>
      <w:r>
        <w:t xml:space="preserve"> </w:t>
      </w:r>
      <w:r>
        <w:rPr>
          <w:i/>
          <w:iCs/>
        </w:rPr>
        <w:t xml:space="preserve">consented</w:t>
      </w:r>
      <w:r>
        <w:t xml:space="preserve"> </w:t>
      </w:r>
      <w:r>
        <w:t xml:space="preserve">dataset of real users; and seek a mentor or peer reviewer earlier, since explaining a result to another person catches errors that re-reading your own code does not.</w:t>
      </w:r>
    </w:p>
    <w:p>
      <w:r>
        <w:pict>
          <v:rect style="width:0;height:1.5pt" o:hralign="center" o:hrstd="t" o:hr="t"/>
        </w:pict>
      </w:r>
    </w:p>
    <w:bookmarkEnd w:id="15"/>
    <w:bookmarkStart w:id="16" w:name="my-mentor"/>
    <w:p>
      <w:pPr>
        <w:pStyle w:val="Heading2"/>
      </w:pPr>
      <w:r>
        <w:t xml:space="preserve">My mentor</w:t>
      </w:r>
    </w:p>
    <w:p>
      <w:pPr>
        <w:pStyle w:val="FirstParagraph"/>
      </w:pPr>
      <w:r>
        <w:t xml:space="preserve">This project was completed</w:t>
      </w:r>
      <w:r>
        <w:t xml:space="preserve"> </w:t>
      </w:r>
      <w:r>
        <w:rPr>
          <w:b/>
          <w:bCs/>
        </w:rPr>
        <w:t xml:space="preserve">independently, with no mentor or supervisor.</w:t>
      </w:r>
      <w:r>
        <w:t xml:space="preserve"> </w:t>
      </w:r>
      <w:r>
        <w:t xml:space="preserve">The role a mentor usually plays — the second person who distrusts a convenient result — I had to do myself by auditing my own work, which is how the closed-set mistake (§7) was eventually caught. AI assistance is disclosed in full in Report §11: I set the research direction, made every scientific decision, ran and tested all the code, and verified every result.</w:t>
      </w:r>
    </w:p>
    <w:p>
      <w:pPr>
        <w:pStyle w:val="BlockText"/>
      </w:pPr>
      <w:r>
        <w:rPr>
          <w:b/>
          <w:bCs/>
        </w:rPr>
        <w:t xml:space="preserve">Logistics note (check before submitting).</w:t>
      </w:r>
      <w:r>
        <w:t xml:space="preserve"> </w:t>
      </w:r>
      <w:r>
        <w:t xml:space="preserve">CREST Gold projects are normally submitted through a registered CREST provider or coordinator, and the official form has a section for a supervisor/teacher to verify the work. Because this is an independent submission with no mentor,</w:t>
      </w:r>
      <w:r>
        <w:t xml:space="preserve"> </w:t>
      </w:r>
      <w:r>
        <w:rPr>
          <w:b/>
          <w:bCs/>
        </w:rPr>
        <w:t xml:space="preserve">confirm the correct route with CREST first</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act as the verifying coordinator. Do not leave the verification section blank without confirming what CREST requires.</w:t>
      </w:r>
    </w:p>
    <w:p>
      <w:r>
        <w:pict>
          <v:rect style="width:0;height:1.5pt" o:hralign="center" o:hrstd="t" o:hr="t"/>
        </w:pict>
      </w:r>
    </w:p>
    <w:bookmarkEnd w:id="16"/>
    <w:bookmarkStart w:id="17" w:name="ai-declaration"/>
    <w:p>
      <w:pPr>
        <w:pStyle w:val="Heading2"/>
      </w:pPr>
      <w:r>
        <w:t xml:space="preserve">AI declaration</w:t>
      </w:r>
    </w:p>
    <w:p>
      <w:pPr>
        <w:pStyle w:val="FirstParagraph"/>
      </w:pPr>
      <w:r>
        <w:t xml:space="preserve">Per CREST's AI policy, I confirm all AI-assisted content has been referenced and declared. The full disclosure — tool, dates, what it did, how I checked it — is in</w:t>
      </w:r>
      <w:r>
        <w:t xml:space="preserve"> </w:t>
      </w:r>
      <w:r>
        <w:rPr>
          <w:b/>
          <w:bCs/>
        </w:rPr>
        <w:t xml:space="preserve">Report §11</w:t>
      </w:r>
      <w:r>
        <w:t xml:space="preserve">. On the official application, remember to tick the AI-declaration box.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2026-07-02T16:22:23Z</dcterms:created>
  <dcterms:modified xsi:type="dcterms:W3CDTF">2026-07-02T16:22:23Z</dcterms:modified>
</cp:coreProperties>
</file>

<file path=docProps/custom.xml><?xml version="1.0" encoding="utf-8"?>
<Properties xmlns="http://schemas.openxmlformats.org/officeDocument/2006/custom-properties" xmlns:vt="http://schemas.openxmlformats.org/officeDocument/2006/docPropsVTypes"/>
</file>