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crest-gold-award--student-profile-form"/>
    <w:p>
      <w:pPr>
        <w:pStyle w:val="Heading1"/>
      </w:pPr>
      <w:r>
        <w:t xml:space="preserve">CREST Gold Award — Student Profile Form</w:t>
      </w:r>
    </w:p>
    <w:p>
      <w:pPr>
        <w:pStyle w:val="BlockText"/>
      </w:pPr>
      <w:r>
        <w:rPr>
          <w:b/>
          <w:bCs/>
        </w:rPr>
        <w:t xml:space="preserve">What this is.</w:t>
      </w:r>
      <w:r>
        <w:t xml:space="preserve"> </w:t>
      </w:r>
      <w:r>
        <w:t xml:space="preserve">CREST requires a Student Profile Form submitted</w:t>
      </w:r>
      <w:r>
        <w:t xml:space="preserve"> </w:t>
      </w:r>
      <w:r>
        <w:rPr>
          <w:i/>
          <w:iCs/>
        </w:rPr>
        <w:t xml:space="preserve">alongside</w:t>
      </w:r>
      <w:r>
        <w:t xml:space="preserve"> </w:t>
      </w:r>
      <w:r>
        <w:t xml:space="preserve">the report — one per student. It is the assessor's map: for each of the 15 criteria you point to</w:t>
      </w:r>
      <w:r>
        <w:t xml:space="preserve"> </w:t>
      </w:r>
      <w:r>
        <w:rPr>
          <w:i/>
          <w:iCs/>
        </w:rPr>
        <w:t xml:space="preserve">where in the report</w:t>
      </w:r>
      <w:r>
        <w:t xml:space="preserve"> </w:t>
      </w:r>
      <w:r>
        <w:t xml:space="preserve">you show it, with an optional short note. This file mirrors the official form (download and transcribe at</w:t>
      </w:r>
      <w:r>
        <w:t xml:space="preserve"> </w:t>
      </w:r>
      <w:hyperlink r:id="rId9">
        <w:r>
          <w:rPr>
            <w:rStyle w:val="Hyperlink"/>
          </w:rPr>
          <w:t xml:space="preserve">https://www.crestawards.org/resources/crest-gold-student-profile-form/</w:t>
        </w:r>
      </w:hyperlink>
      <w:r>
        <w:t xml:space="preserve">). The "Where" column cites report</w:t>
      </w:r>
      <w:r>
        <w:t xml:space="preserve"> </w:t>
      </w:r>
      <w:r>
        <w:rPr>
          <w:b/>
          <w:bCs/>
        </w:rPr>
        <w:t xml:space="preserve">sections and page numbers</w:t>
      </w:r>
      <w:r>
        <w:t xml:space="preserve">, matched to the final exported PDF (draft v6, 16 pages). If the report is re-exported after any layout change, re-check the page numbers before transcribing.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Student / team member's first name</w:t>
            </w:r>
          </w:p>
        </w:tc>
        <w:tc>
          <w:tcPr/>
          <w:p>
            <w:pPr>
              <w:pStyle w:val="Compact"/>
            </w:pPr>
            <w:r>
              <w:t xml:space="preserve">Devadit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CREST Award level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title</w:t>
            </w:r>
          </w:p>
        </w:tc>
        <w:tc>
          <w:tcPr/>
          <w:p>
            <w:pPr>
              <w:pStyle w:val="Compact"/>
            </w:pPr>
            <w:r>
              <w:t xml:space="preserve">Verifying Identity from Typing Rhythm: An Open-Set Deep Metric Learning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Mentor name</w:t>
            </w:r>
          </w:p>
        </w:tc>
        <w:tc>
          <w:tcPr/>
          <w:p>
            <w:pPr>
              <w:pStyle w:val="Compact"/>
            </w:pPr>
            <w:r>
              <w:t xml:space="preserve">None — independent project (see the note at the end)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4" w:name="criteria-checklist"/>
    <w:p>
      <w:pPr>
        <w:pStyle w:val="Heading2"/>
      </w:pPr>
      <w:r>
        <w:t xml:space="preserve">Criteria checklist</w:t>
      </w:r>
    </w:p>
    <w:p>
      <w:pPr>
        <w:pStyle w:val="FirstParagraph"/>
      </w:pPr>
      <w:r>
        <w:rPr>
          <w:i/>
          <w:iCs/>
        </w:rPr>
        <w:t xml:space="preserve">Notes to the assessor are optional and deliberately brief — the evidence is in the report section named.</w:t>
      </w:r>
    </w:p>
    <w:bookmarkStart w:id="10" w:name="X6cfab65be3a0f1bf00cf97b9710ac6a8040ae40"/>
    <w:p>
      <w:pPr>
        <w:pStyle w:val="Heading3"/>
      </w:pPr>
      <w:r>
        <w:t xml:space="preserve">1 — Planning your project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Where I show this</w:t>
            </w:r>
          </w:p>
        </w:tc>
        <w:tc>
          <w:tcPr/>
          <w:p>
            <w:pPr>
              <w:pStyle w:val="Compact"/>
            </w:pPr>
            <w:r>
              <w:t xml:space="preserve">Note to the assessor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1.1</w:t>
            </w:r>
            <w:r>
              <w:t xml:space="preserve"> </w:t>
            </w:r>
            <w:r>
              <w:t xml:space="preserve">Set a clear aim, broken into smaller objectives</w:t>
            </w:r>
          </w:p>
        </w:tc>
        <w:tc>
          <w:tcPr/>
          <w:p>
            <w:pPr>
              <w:pStyle w:val="Compact"/>
            </w:pPr>
            <w:r>
              <w:t xml:space="preserve">§1, p. 2 (+ scorecard in §5, p. 7)</w:t>
            </w:r>
          </w:p>
        </w:tc>
        <w:tc>
          <w:tcPr/>
          <w:p>
            <w:pPr>
              <w:pStyle w:val="Compact"/>
            </w:pPr>
            <w:r>
              <w:t xml:space="preserve">One testable aim, split into five numbered objectives, each with an explicit "done when" test, then assessed against the results in §5.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</w:t>
            </w:r>
            <w:r>
              <w:t xml:space="preserve"> </w:t>
            </w:r>
            <w:r>
              <w:t xml:space="preserve">Explained a wider purpose</w:t>
            </w:r>
          </w:p>
        </w:tc>
        <w:tc>
          <w:tcPr/>
          <w:p>
            <w:pPr>
              <w:pStyle w:val="Compact"/>
            </w:pPr>
            <w:r>
              <w:t xml:space="preserve">§1, p. 2</w:t>
            </w:r>
          </w:p>
        </w:tc>
        <w:tc>
          <w:tcPr/>
          <w:p>
            <w:pPr>
              <w:pStyle w:val="Compact"/>
            </w:pPr>
            <w:r>
              <w:t xml:space="preserve">Account-takeover from stolen credentials as the real problem (88% of basic web-application attacks), plus the personal incident behind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1.3</w:t>
            </w:r>
            <w:r>
              <w:t xml:space="preserve"> </w:t>
            </w:r>
            <w:r>
              <w:t xml:space="preserve">Identified a range of approaches</w:t>
            </w:r>
          </w:p>
        </w:tc>
        <w:tc>
          <w:tcPr/>
          <w:p>
            <w:pPr>
              <w:pStyle w:val="Compact"/>
            </w:pPr>
            <w:r>
              <w:t xml:space="preserve">§3, p. 5</w:t>
            </w:r>
          </w:p>
        </w:tc>
        <w:tc>
          <w:tcPr/>
          <w:p>
            <w:pPr>
              <w:pStyle w:val="Compact"/>
            </w:pPr>
            <w:r>
              <w:t xml:space="preserve">Three genuinely different designs (pure statistics / standard classifier / learned fingerprint) compared in a trade-off table across cost, phrase-independence, feasibility and deployment risk; the classifier ruled out and the hybrid choice justified.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1.4</w:t>
            </w:r>
            <w:r>
              <w:t xml:space="preserve"> </w:t>
            </w:r>
            <w:r>
              <w:t xml:space="preserve">Described the plan and why I chose it</w:t>
            </w:r>
          </w:p>
        </w:tc>
        <w:tc>
          <w:tcPr/>
          <w:p>
            <w:pPr>
              <w:pStyle w:val="Compact"/>
            </w:pPr>
            <w:r>
              <w:t xml:space="preserve">§3, pp. 5–6</w:t>
            </w:r>
          </w:p>
        </w:tc>
        <w:tc>
          <w:tcPr/>
          <w:p>
            <w:pPr>
              <w:pStyle w:val="Compact"/>
            </w:pPr>
            <w:r>
              <w:t xml:space="preserve">The three-part research / serve / product design, and why running classical statistics inside a learned fingerprint is the core idea.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</w:t>
            </w:r>
            <w:r>
              <w:t xml:space="preserve"> </w:t>
            </w:r>
            <w:r>
              <w:t xml:space="preserve">Planned and organised my time</w:t>
            </w:r>
          </w:p>
        </w:tc>
        <w:tc>
          <w:tcPr/>
          <w:p>
            <w:pPr>
              <w:pStyle w:val="Compact"/>
            </w:pPr>
            <w:r>
              <w:t xml:space="preserve">§1, "How the project ran", p. 3</w:t>
            </w:r>
          </w:p>
        </w:tc>
        <w:tc>
          <w:tcPr/>
          <w:p>
            <w:pPr>
              <w:pStyle w:val="Compact"/>
            </w:pPr>
            <w:r>
              <w:t xml:space="preserve">A planned-vs-actual timeline of six dated build stages, reconstructed from the commit history (Nov 2025–Jul 2026): four-week slips on authentication and on the first biometric engine, absorbed by a planned April–May exam pause, and a two-week overrun on the write-up after the evaluation flaw forced every figure to be re-run (§4).</w:t>
            </w:r>
          </w:p>
        </w:tc>
      </w:tr>
    </w:tbl>
    <w:bookmarkEnd w:id="10"/>
    <w:bookmarkStart w:id="11" w:name="X520c0f612a91cd248d10fa32b8af57b45697481"/>
    <w:p>
      <w:pPr>
        <w:pStyle w:val="Heading3"/>
      </w:pPr>
      <w:r>
        <w:t xml:space="preserve">2 — Throughout your project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Where I show this</w:t>
            </w:r>
          </w:p>
        </w:tc>
        <w:tc>
          <w:tcPr/>
          <w:p>
            <w:pPr>
              <w:pStyle w:val="Compact"/>
            </w:pPr>
            <w:r>
              <w:t xml:space="preserve">Note to the assessor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2.1</w:t>
            </w:r>
            <w:r>
              <w:t xml:space="preserve"> </w:t>
            </w:r>
            <w:r>
              <w:t xml:space="preserve">Made good use of materials and people</w:t>
            </w:r>
          </w:p>
        </w:tc>
        <w:tc>
          <w:tcPr/>
          <w:p>
            <w:pPr>
              <w:pStyle w:val="Compact"/>
            </w:pPr>
            <w:r>
              <w:t xml:space="preserve">Acknowledgements, p. 10 + App. B provenance, p. 12</w:t>
            </w:r>
          </w:p>
        </w:tc>
        <w:tc>
          <w:tcPr/>
          <w:p>
            <w:pPr>
              <w:pStyle w:val="Compact"/>
            </w:pPr>
            <w:r>
              <w:t xml:space="preserve">Every dataset, library, tool and standard named; an independent project, so the research community stood in for a mentor.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2.2</w:t>
            </w:r>
            <w:r>
              <w:t xml:space="preserve"> </w:t>
            </w:r>
            <w:r>
              <w:t xml:space="preserve">Researched the background, acknowledged sources</w:t>
            </w:r>
          </w:p>
        </w:tc>
        <w:tc>
          <w:tcPr/>
          <w:p>
            <w:pPr>
              <w:pStyle w:val="Compact"/>
            </w:pPr>
            <w:r>
              <w:t xml:space="preserve">§2, p. 4 + References, pp. 10–11</w:t>
            </w:r>
          </w:p>
        </w:tc>
        <w:tc>
          <w:tcPr/>
          <w:p>
            <w:pPr>
              <w:pStyle w:val="Compact"/>
            </w:pPr>
            <w:r>
              <w:t xml:space="preserve">The background synthesises the field's trajectory (hand-built detectors → learned representations, via the ACM survey), brackets it between the 2009 benchmark and TypeNet as two worlds that never meet, and derives the project from the un-asked question between them; 16 references, all primary papers or standards.</w:t>
            </w:r>
          </w:p>
        </w:tc>
      </w:tr>
    </w:tbl>
    <w:bookmarkEnd w:id="11"/>
    <w:bookmarkStart w:id="12" w:name="Xaea5c2b13af17948bf1522d065678cd46ea280f"/>
    <w:p>
      <w:pPr>
        <w:pStyle w:val="Heading3"/>
      </w:pPr>
      <w:r>
        <w:t xml:space="preserve">3 — Finalising your project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Where I show this</w:t>
            </w:r>
          </w:p>
        </w:tc>
        <w:tc>
          <w:tcPr/>
          <w:p>
            <w:pPr>
              <w:pStyle w:val="Compact"/>
            </w:pPr>
            <w:r>
              <w:t xml:space="preserve">Note to the assessor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3.1</w:t>
            </w:r>
            <w:r>
              <w:t xml:space="preserve"> </w:t>
            </w:r>
            <w:r>
              <w:t xml:space="preserve">Logical conclusions + implications for the wider world</w:t>
            </w:r>
          </w:p>
        </w:tc>
        <w:tc>
          <w:tcPr/>
          <w:p>
            <w:pPr>
              <w:pStyle w:val="Compact"/>
            </w:pPr>
            <w:r>
              <w:t xml:space="preserve">§6, p. 8</w:t>
            </w:r>
          </w:p>
        </w:tc>
        <w:tc>
          <w:tcPr/>
          <w:p>
            <w:pPr>
              <w:pStyle w:val="Compact"/>
            </w:pPr>
            <w:r>
              <w:t xml:space="preserve">The result answers the aim directly; implications drawn for account security, research, and (hedged) accessibility.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3.2</w:t>
            </w:r>
            <w:r>
              <w:t xml:space="preserve"> </w:t>
            </w:r>
            <w:r>
              <w:t xml:space="preserve">How my actions/decisions affected the outcome</w:t>
            </w:r>
          </w:p>
        </w:tc>
        <w:tc>
          <w:tcPr/>
          <w:p>
            <w:pPr>
              <w:pStyle w:val="Compact"/>
            </w:pPr>
            <w:r>
              <w:t xml:space="preserve">§4, p. 6 + §8, p. 9</w:t>
            </w:r>
          </w:p>
        </w:tc>
        <w:tc>
          <w:tcPr/>
          <w:p>
            <w:pPr>
              <w:pStyle w:val="Compact"/>
            </w:pPr>
            <w:r>
              <w:t xml:space="preserve">The broken-test fix changed every number; and when tuning looked slightly better it failed on the real test, so I kept the original (App. 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3.3</w:t>
            </w:r>
            <w:r>
              <w:t xml:space="preserve"> </w:t>
            </w:r>
            <w:r>
              <w:t xml:space="preserve">What I learnt and would improve</w:t>
            </w:r>
          </w:p>
        </w:tc>
        <w:tc>
          <w:tcPr/>
          <w:p>
            <w:pPr>
              <w:pStyle w:val="Compact"/>
            </w:pPr>
            <w:r>
              <w:t xml:space="preserve">§8, p. 9</w:t>
            </w:r>
          </w:p>
        </w:tc>
        <w:tc>
          <w:tcPr/>
          <w:p>
            <w:pPr>
              <w:pStyle w:val="Compact"/>
            </w:pPr>
            <w:r>
              <w:t xml:space="preserve">Learning to distrust my own results as the key lesson, working solo, and what I'd change next time.</w:t>
            </w:r>
          </w:p>
        </w:tc>
      </w:tr>
    </w:tbl>
    <w:bookmarkEnd w:id="12"/>
    <w:bookmarkStart w:id="13" w:name="Xcc2854fb62fb96be2cd4ea4c5d997c189787199"/>
    <w:p>
      <w:pPr>
        <w:pStyle w:val="Heading3"/>
      </w:pPr>
      <w:r>
        <w:t xml:space="preserve">4 — Project-wide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Where I show this</w:t>
            </w:r>
          </w:p>
        </w:tc>
        <w:tc>
          <w:tcPr/>
          <w:p>
            <w:pPr>
              <w:pStyle w:val="Compact"/>
            </w:pPr>
            <w:r>
              <w:t xml:space="preserve">Note to the assessor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4.1</w:t>
            </w:r>
            <w:r>
              <w:t xml:space="preserve"> </w:t>
            </w:r>
            <w:r>
              <w:t xml:space="preserve">Understanding of the science</w:t>
            </w:r>
          </w:p>
        </w:tc>
        <w:tc>
          <w:tcPr/>
          <w:p>
            <w:pPr>
              <w:pStyle w:val="Compact"/>
            </w:pPr>
            <w:r>
              <w:t xml:space="preserve">§2–§3, pp. 4–6 + App. C, pp. 14–16</w:t>
            </w:r>
          </w:p>
        </w:tc>
        <w:tc>
          <w:tcPr/>
          <w:p>
            <w:pPr>
              <w:pStyle w:val="Compact"/>
            </w:pPr>
            <w:r>
              <w:t xml:space="preserve">The science explained in plain terms in the body; the full model design, settings and statistics in the technical appendix — each deep mechanism (L2-normalisation, batch-hard triplets, Ledoit–Wolf shrinkage) explained in my own words as</w:t>
            </w:r>
            <w:r>
              <w:t xml:space="preserve"> </w:t>
            </w:r>
            <w:r>
              <w:rPr>
                <w:i/>
                <w:iCs/>
              </w:rPr>
              <w:t xml:space="preserve">why it works</w:t>
            </w:r>
            <w:r>
              <w:t xml:space="preserve">, not just named and cited.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4.2</w:t>
            </w:r>
            <w:r>
              <w:t xml:space="preserve"> </w:t>
            </w:r>
            <w:r>
              <w:t xml:space="preserve">Ethics and safety decisions</w:t>
            </w:r>
          </w:p>
        </w:tc>
        <w:tc>
          <w:tcPr/>
          <w:p>
            <w:pPr>
              <w:pStyle w:val="Compact"/>
            </w:pPr>
            <w:r>
              <w:t xml:space="preserve">§7, pp. 8–9</w:t>
            </w:r>
          </w:p>
        </w:tc>
        <w:tc>
          <w:tcPr/>
          <w:p>
            <w:pPr>
              <w:pStyle w:val="Compact"/>
            </w:pPr>
            <w:r>
              <w:t xml:space="preserve">Typing data as GDPR special-category; consent, data minimisation, fail-safe design, and the measured disparate impact (a 37× error spread).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4.3</w:t>
            </w:r>
            <w:r>
              <w:t xml:space="preserve"> </w:t>
            </w:r>
            <w:r>
              <w:t xml:space="preserve">Creative thinking</w:t>
            </w:r>
          </w:p>
        </w:tc>
        <w:tc>
          <w:tcPr/>
          <w:p>
            <w:pPr>
              <w:pStyle w:val="Compact"/>
            </w:pPr>
            <w:r>
              <w:t xml:space="preserve">§3, p. 5</w:t>
            </w:r>
          </w:p>
        </w:tc>
        <w:tc>
          <w:tcPr/>
          <w:p>
            <w:pPr>
              <w:pStyle w:val="Compact"/>
            </w:pPr>
            <w:r>
              <w:t xml:space="preserve">The core idea: running a classical shrinkage-statistics decision-maker</w:t>
            </w:r>
            <w:r>
              <w:t xml:space="preserve"> </w:t>
            </w:r>
            <w:r>
              <w:rPr>
                <w:i/>
                <w:iCs/>
              </w:rPr>
              <w:t xml:space="preserve">inside</w:t>
            </w:r>
            <w:r>
              <w:t xml:space="preserve"> </w:t>
            </w:r>
            <w:r>
              <w:t xml:space="preserve">a learned fingerprint.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4.4</w:t>
            </w:r>
            <w:r>
              <w:t xml:space="preserve"> </w:t>
            </w:r>
            <w:r>
              <w:t xml:space="preserve">Identified and overcame problems</w:t>
            </w:r>
          </w:p>
        </w:tc>
        <w:tc>
          <w:tcPr/>
          <w:p>
            <w:pPr>
              <w:pStyle w:val="Compact"/>
            </w:pPr>
            <w:r>
              <w:t xml:space="preserve">§4, p. 6</w:t>
            </w:r>
          </w:p>
        </w:tc>
        <w:tc>
          <w:tcPr/>
          <w:p>
            <w:pPr>
              <w:pStyle w:val="Compact"/>
            </w:pPr>
            <w:r>
              <w:t xml:space="preserve">Four problems told in full — the training/test leak, the live crash on a too-consistent typist, the all-zero-columns bug, and the never-measured ensemble — each with root cause, fix and outcome; the full log of thirteen is in the repository.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4.5</w:t>
            </w:r>
            <w:r>
              <w:t xml:space="preserve"> </w:t>
            </w:r>
            <w:r>
              <w:t xml:space="preserve">Explained the project clearly</w:t>
            </w:r>
          </w:p>
        </w:tc>
        <w:tc>
          <w:tcPr/>
          <w:p>
            <w:pPr>
              <w:pStyle w:val="Compact"/>
            </w:pPr>
            <w:r>
              <w:t xml:space="preserve">Whole report + glossary, App. A, p. 11</w:t>
            </w:r>
          </w:p>
        </w:tc>
        <w:tc>
          <w:tcPr/>
          <w:p>
            <w:pPr>
              <w:pStyle w:val="Compact"/>
            </w:pPr>
            <w:r>
              <w:t xml:space="preserve">Written to be followed without a technical background — an everyday comparison for each hard idea, jargon in a glossary, and the depth kept in a technical appendix.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personal-reflections"/>
    <w:p>
      <w:pPr>
        <w:pStyle w:val="Heading2"/>
      </w:pPr>
      <w:r>
        <w:t xml:space="preserve">Personal reflections</w:t>
      </w:r>
    </w:p>
    <w:p>
      <w:pPr>
        <w:pStyle w:val="FirstParagraph"/>
      </w:pPr>
      <w:r>
        <w:rPr>
          <w:i/>
          <w:iCs/>
        </w:rPr>
        <w:t xml:space="preserve">(First draft for the official form; adjust the wording before transcribing.)</w:t>
      </w:r>
    </w:p>
    <w:p>
      <w:pPr>
        <w:pStyle w:val="BodyText"/>
      </w:pPr>
      <w:r>
        <w:rPr>
          <w:b/>
          <w:bCs/>
        </w:rPr>
        <w:t xml:space="preserve">Why I chose this project.</w:t>
      </w:r>
      <w:r>
        <w:t xml:space="preserve"> </w:t>
      </w:r>
      <w:r>
        <w:t xml:space="preserve">Someone broke into my Gmail account using a stolen password, and the system let them straight in. A password proves you know a secret, not that you are the person typing it. I wanted to know whether the way someone types could be a second layer that a stolen password cannot defeat.</w:t>
      </w:r>
    </w:p>
    <w:p>
      <w:pPr>
        <w:pStyle w:val="BodyText"/>
      </w:pPr>
      <w:r>
        <w:rPr>
          <w:b/>
          <w:bCs/>
        </w:rPr>
        <w:t xml:space="preserve">How it was and wasn't successful.</w:t>
      </w:r>
      <w:r>
        <w:t xml:space="preserve"> </w:t>
      </w:r>
      <w:r>
        <w:t xml:space="preserve">It produced a reproducible open-set result, 14.2% primary and 10.2% ensemble EER on 16 unseen subjects, and a working live system. It did not beat the 9.6% published baseline, and I reported that rather than switch to a more flattering protocol. The rigour of the evaluation is the part I am proudest of.</w:t>
      </w:r>
    </w:p>
    <w:p>
      <w:pPr>
        <w:pStyle w:val="BodyText"/>
      </w:pPr>
      <w:r>
        <w:rPr>
          <w:b/>
          <w:bCs/>
        </w:rPr>
        <w:t xml:space="preserve">What I learnt.</w:t>
      </w:r>
      <w:r>
        <w:t xml:space="preserve"> </w:t>
      </w:r>
      <w:r>
        <w:t xml:space="preserve">The difference between closed-set and open-set evaluation, and how easily a flawed protocol produces an impressive but meaningless number. Why biometrics are judged on error-rate curves rather than accuracy. That reproducibility, meaning pinned data, fixed seeds and a one-command rerun, is what turns a claim into a result. Working without a mentor, I learnt to be my own sceptic.</w:t>
      </w:r>
    </w:p>
    <w:p>
      <w:pPr>
        <w:pStyle w:val="BodyText"/>
      </w:pPr>
      <w:r>
        <w:rPr>
          <w:b/>
          <w:bCs/>
        </w:rPr>
        <w:t xml:space="preserve">What impact it might have on others.</w:t>
      </w:r>
      <w:r>
        <w:t xml:space="preserve"> </w:t>
      </w:r>
      <w:r>
        <w:t xml:space="preserve">Even a 10% error rate is useful as a silent second factor against account takeover, at no effort to the user, and in future as a continuous check against session hijacking, provided consent and fail-safe behaviour are built in. A fully pinned, one-command pipeline is also a small contribution to a field where reproducibility is often weak.</w:t>
      </w:r>
    </w:p>
    <w:p>
      <w:pPr>
        <w:pStyle w:val="BodyText"/>
      </w:pPr>
      <w:r>
        <w:rPr>
          <w:b/>
          <w:bCs/>
        </w:rPr>
        <w:t xml:space="preserve">What I would improve.</w:t>
      </w:r>
      <w:r>
        <w:t xml:space="preserve"> </w:t>
      </w:r>
      <w:r>
        <w:t xml:space="preserve">Calibrate the confidence scale, run the free-text model on a large real corpus, train at scale on proper hardware, and collect a small consented set of real users. Above all I would find one person allowed to doubt me early, because explaining a result to someone else catches what re-reading my own code never did.</w:t>
      </w:r>
    </w:p>
    <w:p>
      <w:r>
        <w:pict>
          <v:rect style="width:0;height:1.5pt" o:hralign="center" o:hrstd="t" o:hr="t"/>
        </w:pict>
      </w:r>
    </w:p>
    <w:bookmarkEnd w:id="15"/>
    <w:bookmarkStart w:id="16" w:name="my-mentor"/>
    <w:p>
      <w:pPr>
        <w:pStyle w:val="Heading2"/>
      </w:pPr>
      <w:r>
        <w:t xml:space="preserve">My mentor</w:t>
      </w:r>
    </w:p>
    <w:p>
      <w:pPr>
        <w:pStyle w:val="FirstParagraph"/>
      </w:pPr>
      <w:r>
        <w:t xml:space="preserve">This project was completed</w:t>
      </w:r>
      <w:r>
        <w:t xml:space="preserve"> </w:t>
      </w:r>
      <w:r>
        <w:rPr>
          <w:b/>
          <w:bCs/>
        </w:rPr>
        <w:t xml:space="preserve">independently, with no mentor or supervisor.</w:t>
      </w:r>
      <w:r>
        <w:t xml:space="preserve"> </w:t>
      </w:r>
      <w:r>
        <w:t xml:space="preserve">The second person who normally distrusts a convenient result did not exist here, so I audited my own work, which is how the broken-test mistake (§4) was eventually caught. AI assistance is disclosed in the report's AI-use note: Claude was used as a coding aid.</w:t>
      </w:r>
    </w:p>
    <w:p>
      <w:pPr>
        <w:pStyle w:val="BlockText"/>
      </w:pPr>
      <w:r>
        <w:rPr>
          <w:i/>
          <w:iCs/>
        </w:rPr>
        <w:t xml:space="preserve">Independent submission route confirmed with CREST; no registered provider is required for this entry.</w:t>
      </w:r>
    </w:p>
    <w:p>
      <w:r>
        <w:pict>
          <v:rect style="width:0;height:1.5pt" o:hralign="center" o:hrstd="t" o:hr="t"/>
        </w:pict>
      </w:r>
    </w:p>
    <w:bookmarkEnd w:id="16"/>
    <w:bookmarkStart w:id="17" w:name="ai-declaration"/>
    <w:p>
      <w:pPr>
        <w:pStyle w:val="Heading2"/>
      </w:pPr>
      <w:r>
        <w:t xml:space="preserve">AI declaration</w:t>
      </w:r>
    </w:p>
    <w:p>
      <w:pPr>
        <w:pStyle w:val="FirstParagraph"/>
      </w:pPr>
      <w:r>
        <w:t xml:space="preserve">☑</w:t>
      </w:r>
      <w:r>
        <w:t xml:space="preserve"> </w:t>
      </w:r>
      <w:r>
        <w:rPr>
          <w:b/>
          <w:bCs/>
        </w:rPr>
        <w:t xml:space="preserve">AI declaration.</w:t>
      </w:r>
      <w:r>
        <w:t xml:space="preserve"> </w:t>
      </w:r>
      <w:r>
        <w:t xml:space="preserve">All AI-assisted content has been referenced and declared. The full disclosure (tool, what it did, and how I checked it) is in the report's</w:t>
      </w:r>
      <w:r>
        <w:t xml:space="preserve"> </w:t>
      </w:r>
      <w:r>
        <w:rPr>
          <w:b/>
          <w:bCs/>
        </w:rPr>
        <w:t xml:space="preserve">"A note on AI use"</w:t>
      </w:r>
      <w:r>
        <w:t xml:space="preserve"> </w:t>
      </w:r>
      <w:r>
        <w:t xml:space="preserve">section.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Student name</w:t>
            </w:r>
          </w:p>
        </w:tc>
        <w:tc>
          <w:tcPr/>
          <w:p>
            <w:pPr>
              <w:pStyle w:val="Compact"/>
            </w:pPr>
            <w:r>
              <w:t xml:space="preserve">Devadit Jain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Declaration</w:t>
            </w:r>
          </w:p>
        </w:tc>
        <w:tc>
          <w:tcPr/>
          <w:p>
            <w:pPr>
              <w:pStyle w:val="Compact"/>
            </w:pPr>
            <w:r>
              <w:t xml:space="preserve">☑ I confirm this is my own work.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 / date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(Sign and date on the official CREST form.)</w:t>
            </w:r>
          </w:p>
        </w:tc>
      </w:tr>
    </w:tbl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www.crestawards.org/resources/crest-gold-student-profile-for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www.crestawards.org/resources/crest-gold-student-profile-for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2026-07-04T14:40:36Z</dcterms:created>
  <dcterms:modified xsi:type="dcterms:W3CDTF">2026-07-04T14:40:36Z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