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carries the page numbers from the regenerated</w:t>
      </w:r>
      <w:r>
        <w:t xml:space="preserve"> </w:t>
      </w:r>
      <w:r>
        <w:rPr>
          <w:rStyle w:val="VerbatimChar"/>
        </w:rPr>
        <w:t xml:space="preserve">CREST_Gold_Report.pdf</w:t>
      </w:r>
      <w:r>
        <w:t xml:space="preserve"> </w:t>
      </w:r>
      <w:r>
        <w:t>(28 pages, exported from the current</w:t>
      </w:r>
      <w:r>
        <w:t xml:space="preserve"> </w:t>
      </w:r>
      <w:r>
        <w:rPr>
          <w:rStyle w:val="VerbatimChar"/>
        </w:rPr>
        <w:t xml:space="preserve">.docx</w:t>
      </w:r>
      <w:r>
        <w:t xml:space="preserve"> </w:t>
      </w:r>
      <w:r>
        <w:t xml:space="preserve">via Word); if you re-format or re-export the PDF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84 hours (above the ~70-hour Gold expectation), evidenced by the git history and the effort breakdown in Report §1.5</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Report §1.1 (p. 2)</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Report §1.2 (p. 3)</w:t>
            </w:r>
          </w:p>
        </w:tc>
        <w:tc>
          <w:tcPr/>
          <w:p>
            <w:pPr>
              <w:pStyle w:val="Compact"/>
            </w:pPr>
            <w:r>
              <w:t>Account-takeover fraud and credential stuffing as the real-world problem; named stakeholders (ordinary account holders on any login);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4)</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5)</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6)</w:t>
            </w:r>
          </w:p>
        </w:tc>
        <w:tc>
          <w:tcPr/>
          <w:p>
            <w:pPr>
              <w:pStyle w:val="Compact"/>
            </w:pPr>
            <w:r>
              <w:t>An explicit ~84-hour effort breakdown by phase of work, a planned-versus-actual view of the project, and two honest replanning decisions with their reasons — the work organised in deliberate stages.</w:t>
            </w:r>
            <w:r/>
            <w:r>
              <w:rPr>
                <w:b/>
                <w:bCs/>
              </w:rPr>
            </w:r>
            <w:r/>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Report §1.6 (p. 7)</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Report §2 + §13 (pp. 7, 24)</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Report §4 + §5 (pp. 12, 15)</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Report §6 (p. 16)</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Report §10 (p. 22)</w:t>
            </w:r>
          </w:p>
        </w:tc>
        <w:tc>
          <w:tcPr/>
          <w:p>
            <w:pPr>
              <w:pStyle w:val="Compact"/>
            </w:pPr>
            <w:r>
              <w:t xml:space="preserve">≥ half a page of specific reflection: closed-vs-open-set as the key lesson, reproducibility,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Report §2 + §3 (pp. 7, 9)</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Report §8 + App. E (pp. 20, 28)</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Report §3.5 + §1.3 (pp. 11, 4)</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Report §7 (p. 17)</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Whole report (pp. 1–28)</w:t>
            </w:r>
          </w:p>
        </w:tc>
        <w:tc>
          <w:tcPr/>
          <w:p>
            <w:pPr>
              <w:pStyle w:val="Compact"/>
            </w:pPr>
            <w:r>
              <w:t xml:space="preserve">Logical structure, abstract, labelled tables and figures, a glossary defining every term/abbreviation (App. B),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What I would do to improve the work. Recalibrate the confidence scale (§7.6); run the free-text/continuous model on a real large corpus (Aalto); train at scale on GPU to test whether the hybrid's advantage holds as accuracy improves; collect a small consented dataset of real users to test cross-dataset generalisation; and — having worked entirely solo — seek a mentor or peer reviewer earlier next time, since explaining a result to another person catches errors that re-reading your own code does not.</w:t>
      </w:r>
      <w:r/>
      <w:r/>
      <w:r/>
      <w:r>
        <w:rPr>
          <w:i/>
          <w:iCs/>
        </w:rPr>
      </w:r>
      <w:r/>
      <w:r/>
    </w:p>
    <w:p>
      <w:pPr>
        <w:pStyle w:val="BodyText"/>
      </w:pPr>
      <w:r>
        <w:rPr>
          <w:b/>
          <w:bCs/>
        </w:rPr>
        <w:t xml:space="preserve">What I would do to develop the project in future.</w:t>
      </w:r>
      <w:r>
        <w:t xml:space="preserve"> </w:t>
      </w:r>
      <w:r>
        <w:t>Turn it into a deployed, opt-in, user-controlled feature in the live product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Per CREST's AI policy, I confirm that all AI-assisted content has been referenced and declared. The full disclosure — tool (Anthropic Claude via Claude Code), dates (2026 — development and report drafting), what it did, how I checked it, and a representative prompt — is in</w:t>
      </w:r>
      <w:r>
        <w:t xml:space="preserve"> </w:t>
      </w:r>
      <w:r>
        <w:rPr>
          <w:b/>
          <w:bCs/>
        </w:rPr>
        <w:t xml:space="preserve">Report §12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instead the originality of the work is evidenced by the §12 statement, the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www.crestawards.org/resources/crest-gold-student-profile-form/"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www.crestawards.org/resources/crest-gold-student-profile-f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2026-06-24T02:32:57Z</dcterms:created>
  <dcterms:modified xsi:type="dcterms:W3CDTF">2026-06-24T02:32:57Z</dcterms:modified>
</cp:coreProperties>
</file>

<file path=docProps/custom.xml><?xml version="1.0" encoding="utf-8"?>
<Properties xmlns="http://schemas.openxmlformats.org/officeDocument/2006/custom-properties" xmlns:vt="http://schemas.openxmlformats.org/officeDocument/2006/docPropsVTypes"/>
</file>