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1" w:name="X0e72edf9f6381726b1711b819ce0218381b5c52"/>
    <w:p>
      <w:pPr>
        <w:pStyle w:val="Heading1"/>
      </w:pPr>
      <w:r>
        <w:t xml:space="preserve">Can You Be Recognised by the Way You Type? Building and Testing a Keystroke-Dynamics Verification System</w:t>
      </w:r>
    </w:p>
    <w:p>
      <w:pPr>
        <w:pStyle w:val="FirstParagraph"/>
      </w:pPr>
      <w:r>
        <w:rPr>
          <w:b/>
          <w:bCs/>
        </w:rPr>
        <w:t xml:space="preserve">A CREST Gold Award Research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w:t>
            </w:r>
          </w:p>
        </w:tc>
        <w:tc>
          <w:tcPr/>
          <w:p>
            <w:pPr>
              <w:pStyle w:val="Compact"/>
            </w:pPr>
            <w:r>
              <w:t xml:space="preserve">Devadit Jain</w:t>
            </w:r>
          </w:p>
        </w:tc>
      </w:tr>
      <w:tr>
        <w:tc>
          <w:tcPr/>
          <w:p>
            <w:pPr>
              <w:pStyle w:val="Compact"/>
            </w:pPr>
            <w:r>
              <w:t xml:space="preserve">Project type</w:t>
            </w:r>
          </w:p>
        </w:tc>
        <w:tc>
          <w:tcPr/>
          <w:p>
            <w:pPr>
              <w:pStyle w:val="Compact"/>
            </w:pPr>
            <w:r>
              <w:t xml:space="preserve">Research / investigation (with a design-and-make engineering component)</w:t>
            </w:r>
          </w:p>
        </w:tc>
      </w:tr>
      <w:tr>
        <w:tc>
          <w:tcPr/>
          <w:p>
            <w:pPr>
              <w:pStyle w:val="Compact"/>
            </w:pPr>
            <w:r>
              <w:t xml:space="preserve">Project title</w:t>
            </w:r>
          </w:p>
        </w:tc>
        <w:tc>
          <w:tcPr/>
          <w:p>
            <w:pPr>
              <w:pStyle w:val="Compact"/>
            </w:pPr>
            <w:r>
              <w:t xml:space="preserve">Content-independent keystroke-dynamics verification: can a deep embedding plus a classical statistical verifier recognise a person from typing rhythm alone, and how close does it get to the published benchmark?</w:t>
            </w:r>
          </w:p>
        </w:tc>
      </w:tr>
      <w:tr>
        <w:tc>
          <w:tcPr/>
          <w:p>
            <w:pPr>
              <w:pStyle w:val="Compact"/>
            </w:pPr>
            <w:r>
              <w:t xml:space="preserve">Field</w:t>
            </w:r>
          </w:p>
        </w:tc>
        <w:tc>
          <w:tcPr/>
          <w:p>
            <w:pPr>
              <w:pStyle w:val="Compact"/>
            </w:pPr>
            <w:r>
              <w:t xml:space="preserve">Computer science · machine learning · cybersecurity / behavioural biometrics</w:t>
            </w:r>
          </w:p>
        </w:tc>
      </w:tr>
      <w:tr>
        <w:tc>
          <w:tcPr/>
          <w:p>
            <w:pPr>
              <w:pStyle w:val="Compact"/>
            </w:pPr>
            <w:r>
              <w:t xml:space="preserve">Mentor</w:t>
            </w:r>
          </w:p>
        </w:tc>
        <w:tc>
          <w:tcPr/>
          <w:p>
            <w:pPr>
              <w:pStyle w:val="Compact"/>
            </w:pPr>
            <w:r>
              <w:t xml:space="preserve">None — independent project</w:t>
            </w:r>
          </w:p>
        </w:tc>
      </w:tr>
      <w:tr>
        <w:tc>
          <w:tcPr/>
          <w:p>
            <w:pPr>
              <w:pStyle w:val="Compact"/>
            </w:pPr>
            <w:r>
              <w:t xml:space="preserve">Dates</w:t>
            </w:r>
          </w:p>
        </w:tc>
        <w:tc>
          <w:tcPr/>
          <w:p>
            <w:pPr>
              <w:pStyle w:val="Compact"/>
            </w:pPr>
            <w:r>
              <w:t xml:space="preserve">25 November 2025 – 10 June 2026</w:t>
            </w:r>
          </w:p>
        </w:tc>
      </w:tr>
    </w:tbl>
    <w:p>
      <w:r>
        <w:pict>
          <v:rect style="width:0;height:1.5pt" o:hralign="center" o:hrstd="t" o:hr="t"/>
        </w:pict>
      </w:r>
    </w:p>
    <w:bookmarkStart w:id="9" w:name="abstract"/>
    <w:p>
      <w:pPr>
        <w:pStyle w:val="Heading2"/>
      </w:pPr>
      <w:r>
        <w:t xml:space="preserve">Abstract</w:t>
      </w:r>
    </w:p>
    <w:p>
      <w:pPr>
        <w:pStyle w:val="FirstParagraph"/>
      </w:pPr>
      <w:r>
        <w:t xml:space="preserve">A password only proves you know a secret. It says nothing about whether you are the person the account belongs to. Keystroke dynamics, the rhythm of how someone types, is a behavioural biometric that could add a quiet second check on identity. This project asks one narrow question: can a deep embedding of typing timing, paired with a classical statistical verifier, recognise a person from rhythm alone, and how close does it get to the published benchmark?</w:t>
      </w:r>
    </w:p>
    <w:p>
      <w:pPr>
        <w:pStyle w:val="BodyText"/>
      </w:pPr>
      <w:r>
        <w:t xml:space="preserve">I built the system in three parts: a PyTorch research harness that trains the model, a FastAPI service that serves the frozen model, and a Node.js product layer where a real user can consent, enrol and be verified. The model is a 1-D convolutional network with a bidirectional GRU and an attention layer, turning a window of keystrokes into a 128-number vector. On that learned representation, a hand-built ensemble (Ledoit–Wolf shrinkage, Mahalanobis distance and nearest-neighbour) makes the accept-or-reject call.</w:t>
      </w:r>
    </w:p>
    <w:p>
      <w:pPr>
        <w:pStyle w:val="BodyText"/>
      </w:pPr>
      <w:r>
        <w:t xml:space="preserve">I tested on the standard CMU benchmark: 51 people typing</w:t>
      </w:r>
      <w:r>
        <w:t xml:space="preserve"> </w:t>
      </w:r>
      <w:r>
        <w:rPr>
          <w:rStyle w:val="VerbatimChar"/>
        </w:rPr>
        <w:t xml:space="preserve">.tie5Roanl</w:t>
      </w:r>
      <w:r>
        <w:t xml:space="preserve">. The protocol was strict open-set, so I trained on 35 people and tested only on the 16 the model never saw, and the result measures how well it generalises to new users. Over three seeds it reached an Equal Error Rate (EER) of 14.2% ± 2.8% with the scaled-Manhattan scorer, the metric you can put next to the published 9.6% baseline, and 10.2% ± 1.0% with the full ensemble. The honest headline is a near-miss, not a win: on this small fixed-text benchmark the deep model does not beat the 2009 classical baseline. The contribution is what that honest measurement buys — a reproducible, open-set test of a hybrid design (a classical verifier run inside a learned embedding space) on people the model never trained on, in which the ensemble holds steadier from seed to seed than the simple scorer on the same embeddings (an internal SD comparison, 1.0% vs 2.8%, not a claim against the baseline's across-subject spread). Across 14 seeds the ensemble beats the simple scorer every time (Wilcoxon signed-rank p ≈ 0.0001), and a component ablation traces that edge to the Ledoit–Wolf Mahalanobis term inside the learned space, not to the averaging of three distances. The wider run is also less flattering than the three-seed headline — across 14 seeds the mean EERs are higher (≈ 18.7% primary, ≈ 13.3% ensemble) — which the report states plainly. The report also documents the closed-set mistake that would have handed me a better-looking but meaningless number (§7.1), twelve other problems found and fixed, the ablation behind the headline setting, and an ethics section treating biometric data as the special-category data it legally is.</w:t>
      </w:r>
    </w:p>
    <w:bookmarkEnd w:id="9"/>
    <w:bookmarkStart w:id="10" w:name="table-of-contents"/>
    <w:p>
      <w:pPr>
        <w:pStyle w:val="Heading2"/>
      </w:pPr>
      <w:r>
        <w:t xml:space="preserve">Table of Contents</w:t>
      </w:r>
    </w:p>
    <w:p>
      <w:pPr>
        <w:pStyle w:val="Compact"/>
        <w:numPr>
          <w:ilvl w:val="0"/>
          <w:numId w:val="1001"/>
        </w:numPr>
      </w:pPr>
      <w:r>
        <w:t xml:space="preserve">Introduction</w:t>
      </w:r>
    </w:p>
    <w:p>
      <w:pPr>
        <w:pStyle w:val="Compact"/>
        <w:numPr>
          <w:ilvl w:val="0"/>
          <w:numId w:val="1001"/>
        </w:numPr>
      </w:pPr>
      <w:r>
        <w:t xml:space="preserve">Background and literature</w:t>
      </w:r>
    </w:p>
    <w:p>
      <w:pPr>
        <w:pStyle w:val="Compact"/>
        <w:numPr>
          <w:ilvl w:val="0"/>
          <w:numId w:val="1001"/>
        </w:numPr>
      </w:pPr>
      <w:r>
        <w:t xml:space="preserve">Method</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How my decisions shaped the outcome</w:t>
      </w:r>
    </w:p>
    <w:p>
      <w:pPr>
        <w:pStyle w:val="Compact"/>
        <w:numPr>
          <w:ilvl w:val="0"/>
          <w:numId w:val="1001"/>
        </w:numPr>
      </w:pPr>
      <w:r>
        <w:t xml:space="preserve">Problems I found and fixed</w:t>
      </w:r>
    </w:p>
    <w:p>
      <w:pPr>
        <w:pStyle w:val="Compact"/>
        <w:numPr>
          <w:ilvl w:val="0"/>
          <w:numId w:val="1001"/>
        </w:numPr>
      </w:pPr>
      <w:r>
        <w:t xml:space="preserve">Ethics and safety</w:t>
      </w:r>
    </w:p>
    <w:p>
      <w:pPr>
        <w:pStyle w:val="Compact"/>
        <w:numPr>
          <w:ilvl w:val="0"/>
          <w:numId w:val="1001"/>
        </w:numPr>
      </w:pPr>
      <w:r>
        <w:t xml:space="preserve">Reflection</w:t>
      </w:r>
    </w:p>
    <w:p>
      <w:pPr>
        <w:pStyle w:val="Compact"/>
        <w:numPr>
          <w:ilvl w:val="0"/>
          <w:numId w:val="1001"/>
        </w:numPr>
      </w:pPr>
      <w:r>
        <w:t xml:space="preserve">Conclusion</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Appendix</w:t>
      </w:r>
    </w:p>
    <w:bookmarkEnd w:id="10"/>
    <w:bookmarkEnd w:id="11"/>
    <w:bookmarkStart w:id="18" w:name="Xe3d0fc0bea9a42ce7605565d0964033d7f6ee47"/>
    <w:p>
      <w:pPr>
        <w:pStyle w:val="Heading1"/>
      </w:pPr>
      <w:r>
        <w:t xml:space="preserve">1. Introduction</w:t>
      </w:r>
    </w:p>
    <w:bookmarkStart w:id="12" w:name="X7e851f5ee87ae7077ce4fb773bc43713f27a267"/>
    <w:p>
      <w:pPr>
        <w:pStyle w:val="Heading2"/>
      </w:pPr>
      <w:r>
        <w:t xml:space="preserve">1.1 Aim and objectives</w:t>
      </w:r>
    </w:p>
    <w:p>
      <w:pPr>
        <w:pStyle w:val="BlockText"/>
      </w:pPr>
      <w:r>
        <w:rPr>
          <w:b/>
          <w:bCs/>
        </w:rPr>
        <w:t xml:space="preserve">Aim:</w:t>
      </w:r>
      <w:r>
        <w:t xml:space="preserve"> </w:t>
      </w:r>
      <w:r>
        <w:t xml:space="preserve">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pPr>
        <w:pStyle w:val="FirstParagraph"/>
      </w:pPr>
      <w:r>
        <w:t xml:space="preserve">I wrote the aim with a clear pass/fail test built in: one number, the Equal Error Rate (§2.3), measured under a protocol I fixed before I saw the result, against a published reference. Success meant a real, reproducible EER on people the model never trained on, and a number I could read straight against the 9.6% baseline — beat, match or fall short, each meaningful if the measurement is honest.</w:t>
      </w:r>
    </w:p>
    <w:p>
      <w:pPr>
        <w:pStyle w:val="BodyText"/>
      </w:pPr>
      <w:r>
        <w:t xml:space="preserve">I split the aim into six objectives, and gave each one a success condition I could actually check: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Objective</w:t>
            </w:r>
          </w:p>
        </w:tc>
        <w:tc>
          <w:tcPr/>
          <w:p>
            <w:pPr>
              <w:pStyle w:val="Compact"/>
            </w:pPr>
            <w:r>
              <w:t xml:space="preserve">Success condition</w:t>
            </w:r>
          </w:p>
        </w:tc>
        <w:tc>
          <w:tcPr/>
          <w:p>
            <w:pPr>
              <w:pStyle w:val="Compact"/>
            </w:pPr>
            <w:r>
              <w:t xml:space="preserve">Outcome</w:t>
            </w:r>
          </w:p>
        </w:tc>
      </w:tr>
      <w:tr>
        <w:tc>
          <w:tcPr/>
          <w:p>
            <w:pPr>
              <w:pStyle w:val="Compact"/>
            </w:pPr>
            <w:r>
              <w:t xml:space="preserve">O1</w:t>
            </w:r>
          </w:p>
        </w:tc>
        <w:tc>
          <w:tcPr/>
          <w:p>
            <w:pPr>
              <w:pStyle w:val="Compact"/>
            </w:pPr>
            <w:r>
              <w:t xml:space="preserve">Build a keystroke-embedding network</w:t>
            </w:r>
          </w:p>
        </w:tc>
        <w:tc>
          <w:tcPr/>
          <w:p>
            <w:pPr>
              <w:pStyle w:val="Compact"/>
            </w:pPr>
            <w:r>
              <w:t xml:space="preserve">Maps a variable-length window to a fixed 128-D vector; forward pass runs on CPU</w:t>
            </w:r>
          </w:p>
        </w:tc>
        <w:tc>
          <w:tcPr/>
          <w:p>
            <w:pPr>
              <w:pStyle w:val="Compact"/>
            </w:pPr>
            <w:r>
              <w:t xml:space="preserve">Met (§3.3)</w:t>
            </w:r>
          </w:p>
        </w:tc>
      </w:tr>
      <w:tr>
        <w:tc>
          <w:tcPr/>
          <w:p>
            <w:pPr>
              <w:pStyle w:val="Compact"/>
            </w:pPr>
            <w:r>
              <w:t xml:space="preserve">O2</w:t>
            </w:r>
          </w:p>
        </w:tc>
        <w:tc>
          <w:tcPr/>
          <w:p>
            <w:pPr>
              <w:pStyle w:val="Compact"/>
            </w:pPr>
            <w:r>
              <w:t xml:space="preserve">Train it so same-person windows cluster and different-person windows separate</w:t>
            </w:r>
          </w:p>
        </w:tc>
        <w:tc>
          <w:tcPr/>
          <w:p>
            <w:pPr>
              <w:pStyle w:val="Compact"/>
            </w:pPr>
            <w:r>
              <w:t xml:space="preserve">After training, mean within-person distance &lt; mean between-person distance, checked by a test</w:t>
            </w:r>
          </w:p>
        </w:tc>
        <w:tc>
          <w:tcPr/>
          <w:p>
            <w:pPr>
              <w:pStyle w:val="Compact"/>
            </w:pPr>
            <w:r>
              <w:t xml:space="preserve">Met (§3.4)</w:t>
            </w:r>
          </w:p>
        </w:tc>
      </w:tr>
      <w:tr>
        <w:tc>
          <w:tcPr/>
          <w:p>
            <w:pPr>
              <w:pStyle w:val="Compact"/>
            </w:pPr>
            <w:r>
              <w:t xml:space="preserve">O3</w:t>
            </w:r>
          </w:p>
        </w:tc>
        <w:tc>
          <w:tcPr/>
          <w:p>
            <w:pPr>
              <w:pStyle w:val="Compact"/>
            </w:pPr>
            <w:r>
              <w:t xml:space="preserve">Evaluate honestly on a public benchmark, open-set</w:t>
            </w:r>
          </w:p>
        </w:tc>
        <w:tc>
          <w:tcPr/>
          <w:p>
            <w:pPr>
              <w:pStyle w:val="Compact"/>
            </w:pPr>
            <w:r>
              <w:t xml:space="preserve">EER computed only on held-out people; the evaluator refuses to score training data</w:t>
            </w:r>
          </w:p>
        </w:tc>
        <w:tc>
          <w:tcPr/>
          <w:p>
            <w:pPr>
              <w:pStyle w:val="Compact"/>
            </w:pPr>
            <w:r>
              <w:t xml:space="preserve">Met (§3.6, §4)</w:t>
            </w:r>
          </w:p>
        </w:tc>
      </w:tr>
      <w:tr>
        <w:tc>
          <w:tcPr/>
          <w:p>
            <w:pPr>
              <w:pStyle w:val="Compact"/>
            </w:pPr>
            <w:r>
              <w:t xml:space="preserve">O4</w:t>
            </w:r>
          </w:p>
        </w:tc>
        <w:tc>
          <w:tcPr/>
          <w:p>
            <w:pPr>
              <w:pStyle w:val="Compact"/>
            </w:pPr>
            <w:r>
              <w:t xml:space="preserve">Reuse a statistical ensemble as the decision layer inside the embedding space</w:t>
            </w:r>
          </w:p>
        </w:tc>
        <w:tc>
          <w:tcPr/>
          <w:p>
            <w:pPr>
              <w:pStyle w:val="Compact"/>
            </w:pPr>
            <w:r>
              <w:t xml:space="preserve">Two EERs reported (scaled-Manhattan vs full ensemble) from one run</w:t>
            </w:r>
          </w:p>
        </w:tc>
        <w:tc>
          <w:tcPr/>
          <w:p>
            <w:pPr>
              <w:pStyle w:val="Compact"/>
            </w:pPr>
            <w:r>
              <w:t xml:space="preserve">Met (§4.1)</w:t>
            </w:r>
          </w:p>
        </w:tc>
      </w:tr>
      <w:tr>
        <w:tc>
          <w:tcPr/>
          <w:p>
            <w:pPr>
              <w:pStyle w:val="Compact"/>
            </w:pPr>
            <w:r>
              <w:t xml:space="preserve">O5</w:t>
            </w:r>
          </w:p>
        </w:tc>
        <w:tc>
          <w:tcPr/>
          <w:p>
            <w:pPr>
              <w:pStyle w:val="Compact"/>
            </w:pPr>
            <w:r>
              <w:t xml:space="preserve">Make the pipeline reproducible</w:t>
            </w:r>
          </w:p>
        </w:tc>
        <w:tc>
          <w:tcPr/>
          <w:p>
            <w:pPr>
              <w:pStyle w:val="Compact"/>
            </w:pPr>
            <w:r>
              <w:t xml:space="preserve">One script regenerates the result from a SHA-pinned dataset and fixed seeds</w:t>
            </w:r>
          </w:p>
        </w:tc>
        <w:tc>
          <w:tcPr/>
          <w:p>
            <w:pPr>
              <w:pStyle w:val="Compact"/>
            </w:pPr>
            <w:r>
              <w:t xml:space="preserve">Met (App. B)</w:t>
            </w:r>
          </w:p>
        </w:tc>
      </w:tr>
      <w:tr>
        <w:tc>
          <w:tcPr/>
          <w:p>
            <w:pPr>
              <w:pStyle w:val="Compact"/>
            </w:pPr>
            <w:r>
              <w:t xml:space="preserve">O6</w:t>
            </w:r>
          </w:p>
        </w:tc>
        <w:tc>
          <w:tcPr/>
          <w:p>
            <w:pPr>
              <w:pStyle w:val="Compact"/>
            </w:pPr>
            <w:r>
              <w:t xml:space="preserve">Show it working in a real product flow with safe failure</w:t>
            </w:r>
          </w:p>
        </w:tc>
        <w:tc>
          <w:tcPr/>
          <w:p>
            <w:pPr>
              <w:pStyle w:val="Compact"/>
            </w:pPr>
            <w:r>
              <w:t xml:space="preserve">A live service serves the model; a user can consent → enrol → be verified; outages never grant access</w:t>
            </w:r>
          </w:p>
        </w:tc>
        <w:tc>
          <w:tcPr/>
          <w:p>
            <w:pPr>
              <w:pStyle w:val="Compact"/>
            </w:pPr>
            <w:r>
              <w:t xml:space="preserve">Met (§3.7, §6)</w:t>
            </w:r>
          </w:p>
        </w:tc>
      </w:tr>
    </w:tbl>
    <w:p>
      <w:pPr>
        <w:pStyle w:val="BodyText"/>
      </w:pPr>
      <w:r>
        <w:t xml:space="preserve">Making each objective carry a checkable condition stopped me hiding a non-result behind code that merely "ran" — the trap I nearly fell into (§7.1).</w:t>
      </w:r>
    </w:p>
    <w:bookmarkEnd w:id="12"/>
    <w:bookmarkStart w:id="13" w:name="X15d8d928690c0ee21db52eef2a16a1a053f684d"/>
    <w:p>
      <w:pPr>
        <w:pStyle w:val="Heading2"/>
      </w:pPr>
      <w:r>
        <w:t xml:space="preserve">1.2 Wider purpose</w:t>
      </w:r>
    </w:p>
    <w:p>
      <w:pPr>
        <w:pStyle w:val="FirstParagraph"/>
      </w:pPr>
      <w:r>
        <w:t xml:space="preserve">Passwords check knowledge, not identity. Anyone who steals or guesses one becomes, as far as the system is concerned, the real owner. Account-takeover is a big, stubborn problem. Verizon's 2024 Data Breach Investigations Report found stolen credentials were involved in about 88% of Basic Web Application Attacks, and credential-stuffing, where leaked username/password pairs are replayed automatically, is a dominant login attack (Verizon, 2024). Multi-factor authentication helps, but it adds friction, which people switch off. A behavioural biometric could fill that gap differently: instead of asking the user to do something extra, the system watches how they already type. The idea is old. Telegraph operators in the 19th century were recognised by the rhythm of their "fist". What is new is that machine learning makes content-independent typing recognition genuinely practical (Acien et al., 2021): an invisible second factor at login, a continuous check during a session, or a lower barrier for people who find passwords and tokens hard to manage.</w:t>
      </w:r>
    </w:p>
    <w:p>
      <w:pPr>
        <w:pStyle w:val="BodyText"/>
      </w:pPr>
      <w:r>
        <w:t xml:space="preserve">Who benefits? Ordinary account holders on any site with a login — in my case the users of a product where people already type constantly, so the biometric asks nothing new of them. They are also the people most at risk if it's built carelessly, which is why I treat ethics (§8) as part of the project, not an add-on.</w:t>
      </w:r>
    </w:p>
    <w:p>
      <w:pPr>
        <w:pStyle w:val="BodyText"/>
      </w:pPr>
      <w:r>
        <w:t xml:space="preserve">This is not abstract for me. What made the weakness of passwords real was a break-in of my own. An account I cared about was taken with stolen credentials, and the system never noticed anything was wrong. The password was correct, so as far as the login was concerned, the attacker simply</w:t>
      </w:r>
      <w:r>
        <w:t xml:space="preserve"> </w:t>
      </w:r>
      <w:r>
        <w:rPr>
          <w:i/>
          <w:iCs/>
        </w:rPr>
        <w:t xml:space="preserve">was</w:t>
      </w:r>
      <w:r>
        <w:t xml:space="preserve"> </w:t>
      </w:r>
      <w:r>
        <w:t xml:space="preserve">me. A perfectly correct password defended nothing. That is what pushed me towards behavioural biometrics, and towards the question this whole project is built on: could</w:t>
      </w:r>
      <w:r>
        <w:t xml:space="preserve"> </w:t>
      </w:r>
      <w:r>
        <w:rPr>
          <w:i/>
          <w:iCs/>
        </w:rPr>
        <w:t xml:space="preserve">how</w:t>
      </w:r>
      <w:r>
        <w:t xml:space="preserve"> </w:t>
      </w:r>
      <w:r>
        <w:t xml:space="preserve">a person types be a quiet second check that a stolen password can't fake?</w:t>
      </w:r>
    </w:p>
    <w:bookmarkEnd w:id="13"/>
    <w:bookmarkStart w:id="14" w:name="Xb607af925cba86d7fe8b06343b4819e3e8d0a92"/>
    <w:p>
      <w:pPr>
        <w:pStyle w:val="Heading2"/>
      </w:pPr>
      <w:r>
        <w:t xml:space="preserve">1.3 Approaches I considered</w:t>
      </w:r>
    </w:p>
    <w:p>
      <w:pPr>
        <w:pStyle w:val="FirstParagraph"/>
      </w:pPr>
      <w:r>
        <w:t xml:space="preserve">There were three genuinely different ways to build the verifier; I compared them before committing.</w:t>
      </w:r>
    </w:p>
    <w:p>
      <w:pPr>
        <w:pStyle w:val="BodyText"/>
      </w:pPr>
      <w:r>
        <w:rPr>
          <w:b/>
          <w:bCs/>
        </w:rPr>
        <w:t xml:space="preserve">A — Pure statistical / anomaly detection (the classical baseline).</w:t>
      </w:r>
      <w:r>
        <w:t xml:space="preserve"> </w:t>
      </w:r>
      <w:r>
        <w:t xml:space="preserve">Score a new sample against a per-user statistical profile of hand-designed timing features, using a distance like scaled-Manhattan or Mahalanobis. This is what Killourhy &amp; Maxion (2009) benchmarked. Simple, interpretable, no cross-user training, strong published results (≈ 9.6%). The downside: it's tied to fixed text, breaks on new passwords or free text, and a human chooses the features.</w:t>
      </w:r>
    </w:p>
    <w:p>
      <w:pPr>
        <w:pStyle w:val="BodyText"/>
      </w:pPr>
      <w:r>
        <w:rPr>
          <w:b/>
          <w:bCs/>
        </w:rPr>
        <w:t xml:space="preserve">B — Pure deep classifier.</w:t>
      </w:r>
      <w:r>
        <w:t xml:space="preserve"> </w:t>
      </w:r>
      <w:r>
        <w:t xml:space="preserve">A softmax over the enrolled users: accurate on a fixed set, but closed-set by nature, so every new sign-up means retraining the whole network — a dealbreaker for a product where people sign up constantly.</w:t>
      </w:r>
    </w:p>
    <w:p>
      <w:pPr>
        <w:pStyle w:val="BodyText"/>
      </w:pPr>
      <w:r>
        <w:rPr>
          <w:b/>
          <w:bCs/>
        </w:rPr>
        <w:t xml:space="preserve">C — Deep metric-learning embedding (chosen).</w:t>
      </w:r>
      <w:r>
        <w:t xml:space="preserve"> </w:t>
      </w:r>
      <w:r>
        <w:t xml:space="preserve">Train the network to</w:t>
      </w:r>
      <w:r>
        <w:t xml:space="preserve"> </w:t>
      </w:r>
      <w:r>
        <w:rPr>
          <w:i/>
          <w:iCs/>
        </w:rPr>
        <w:t xml:space="preserve">embed</w:t>
      </w:r>
      <w:r>
        <w:t xml:space="preserve"> </w:t>
      </w:r>
      <w:r>
        <w:t xml:space="preserve">rather than classify: map any window to a vector so that same-person windows land close and different-person windows land far apart, using a triplet loss (Schroff et al., 2015; Hermans et al., 2017). A new user is enrolled by storing a few embeddings, no retraining. It's open-set by construction (the standard in modern face and biometric recognition), content-independent, and reasonably data-efficient. The catch: harder to train, and the raw embedding still needs a decision rule on top.</w:t>
      </w:r>
    </w:p>
    <w:p>
      <w:pPr>
        <w:pStyle w:val="BodyText"/>
      </w:pPr>
      <w:r>
        <w:t xml:space="preserve">I didn't want to throw away the classical statistics of A, so I run them inside the learned embedding space of C. The network gives the representation; a Ledoit–Wolf Mahalanobis, nearest-neighbour and scaled-Manhattan ensemble makes the decision. That combination is the core idea of the project.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 Statistical</w:t>
            </w:r>
          </w:p>
        </w:tc>
        <w:tc>
          <w:tcPr/>
          <w:p>
            <w:pPr>
              <w:pStyle w:val="Compact"/>
            </w:pPr>
            <w:r>
              <w:t xml:space="preserve">B: Deep classifier</w:t>
            </w:r>
          </w:p>
        </w:tc>
        <w:tc>
          <w:tcPr/>
          <w:p>
            <w:pPr>
              <w:pStyle w:val="Compact"/>
            </w:pPr>
            <w:r>
              <w:t xml:space="preserve">C: Metric embedding (+ ensemble)</w:t>
            </w:r>
          </w:p>
        </w:tc>
      </w:tr>
      <w:tr>
        <w:tc>
          <w:tcPr/>
          <w:p>
            <w:pPr>
              <w:pStyle w:val="Compact"/>
            </w:pPr>
            <w:r>
              <w:t xml:space="preserve">Open-set (new users, no retraining)</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Content-independent (any text)</w:t>
            </w:r>
          </w:p>
        </w:tc>
        <w:tc>
          <w:tcPr/>
          <w:p>
            <w:pPr>
              <w:pStyle w:val="Compact"/>
            </w:pPr>
            <w:r>
              <w:t xml:space="preserve">no</w:t>
            </w:r>
          </w:p>
        </w:tc>
        <w:tc>
          <w:tcPr/>
          <w:p>
            <w:pPr>
              <w:pStyle w:val="Compact"/>
            </w:pPr>
            <w:r>
              <w:t xml:space="preserve">partial</w:t>
            </w:r>
          </w:p>
        </w:tc>
        <w:tc>
          <w:tcPr/>
          <w:p>
            <w:pPr>
              <w:pStyle w:val="Compact"/>
            </w:pPr>
            <w:r>
              <w:t xml:space="preserve">yes</w:t>
            </w:r>
          </w:p>
        </w:tc>
      </w:tr>
      <w:tr>
        <w:tc>
          <w:tcPr/>
          <w:p>
            <w:pPr>
              <w:pStyle w:val="Compact"/>
            </w:pPr>
            <w:r>
              <w:t xml:space="preserve">Data efficiency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Compute cost (training + each new sign-up)</w:t>
            </w:r>
          </w:p>
        </w:tc>
        <w:tc>
          <w:tcPr/>
          <w:p>
            <w:pPr>
              <w:pStyle w:val="Compact"/>
            </w:pPr>
            <w:r>
              <w:t xml:space="preserve">low (no training)</w:t>
            </w:r>
          </w:p>
        </w:tc>
        <w:tc>
          <w:tcPr/>
          <w:p>
            <w:pPr>
              <w:pStyle w:val="Compact"/>
            </w:pPr>
            <w:r>
              <w:t xml:space="preserve">high (retrain on every new user)</w:t>
            </w:r>
          </w:p>
        </w:tc>
        <w:tc>
          <w:tcPr/>
          <w:p>
            <w:pPr>
              <w:pStyle w:val="Compact"/>
            </w:pPr>
            <w:r>
              <w:t xml:space="preserve">low (train once; enrolment is cheap)</w:t>
            </w:r>
          </w:p>
        </w:tc>
      </w:tr>
      <w:tr>
        <w:tc>
          <w:tcPr/>
          <w:p>
            <w:pPr>
              <w:pStyle w:val="Compact"/>
            </w:pPr>
            <w:r>
              <w:t xml:space="preserve">Build time (development effort)</w:t>
            </w:r>
          </w:p>
        </w:tc>
        <w:tc>
          <w:tcPr/>
          <w:p>
            <w:pPr>
              <w:pStyle w:val="Compact"/>
            </w:pPr>
            <w:r>
              <w:t xml:space="preserve">low (reuse tested stats code)</w:t>
            </w:r>
          </w:p>
        </w:tc>
        <w:tc>
          <w:tcPr/>
          <w:p>
            <w:pPr>
              <w:pStyle w:val="Compact"/>
            </w:pPr>
            <w:r>
              <w:t xml:space="preserve">medium</w:t>
            </w:r>
          </w:p>
        </w:tc>
        <w:tc>
          <w:tcPr/>
          <w:p>
            <w:pPr>
              <w:pStyle w:val="Compact"/>
            </w:pPr>
            <w:r>
              <w:t xml:space="preserve">medium–high (hardest to train)</w:t>
            </w:r>
          </w:p>
        </w:tc>
      </w:tr>
      <w:tr>
        <w:tc>
          <w:tcPr/>
          <w:p>
            <w:pPr>
              <w:pStyle w:val="Compact"/>
            </w:pPr>
            <w:r>
              <w:t xml:space="preserve">Interpretability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Published precedent</w:t>
            </w:r>
          </w:p>
        </w:tc>
        <w:tc>
          <w:tcPr/>
          <w:p>
            <w:pPr>
              <w:pStyle w:val="Compact"/>
            </w:pPr>
            <w:r>
              <w:t xml:space="preserve">strong (9.6%)</w:t>
            </w:r>
          </w:p>
        </w:tc>
        <w:tc>
          <w:tcPr/>
          <w:p>
            <w:pPr>
              <w:pStyle w:val="Compact"/>
            </w:pPr>
            <w:r>
              <w:t xml:space="preserve">some</w:t>
            </w:r>
          </w:p>
        </w:tc>
        <w:tc>
          <w:tcPr/>
          <w:p>
            <w:pPr>
              <w:pStyle w:val="Compact"/>
            </w:pPr>
            <w:r>
              <w:t xml:space="preserve">strong (TypeNet, FaceNet)</w:t>
            </w:r>
          </w:p>
        </w:tc>
      </w:tr>
      <w:tr>
        <w:tc>
          <w:tcPr/>
          <w:p>
            <w:pPr>
              <w:pStyle w:val="Compact"/>
            </w:pPr>
            <w:r>
              <w:t xml:space="preserve">Risk to build in a short timeframe</w:t>
            </w:r>
          </w:p>
        </w:tc>
        <w:tc>
          <w:tcPr/>
          <w:p>
            <w:pPr>
              <w:pStyle w:val="Compact"/>
            </w:pPr>
            <w:r>
              <w:t xml:space="preserve">low</w:t>
            </w:r>
          </w:p>
        </w:tc>
        <w:tc>
          <w:tcPr/>
          <w:p>
            <w:pPr>
              <w:pStyle w:val="Compact"/>
            </w:pPr>
            <w:r>
              <w:t xml:space="preserve">medium</w:t>
            </w:r>
          </w:p>
        </w:tc>
        <w:tc>
          <w:tcPr/>
          <w:p>
            <w:pPr>
              <w:pStyle w:val="Compact"/>
            </w:pPr>
            <w:r>
              <w:t xml:space="preserve">medium–high</w:t>
            </w:r>
          </w:p>
        </w:tc>
      </w:tr>
      <w:tr>
        <w:tc>
          <w:tcPr/>
          <w:p>
            <w:pPr>
              <w:pStyle w:val="Compact"/>
            </w:pPr>
            <w:r>
              <w:t xml:space="preserve">Fit to an authentication product</w:t>
            </w:r>
          </w:p>
        </w:tc>
        <w:tc>
          <w:tcPr/>
          <w:p>
            <w:pPr>
              <w:pStyle w:val="Compact"/>
            </w:pPr>
            <w:r>
              <w:t xml:space="preserve">poor</w:t>
            </w:r>
          </w:p>
        </w:tc>
        <w:tc>
          <w:tcPr/>
          <w:p>
            <w:pPr>
              <w:pStyle w:val="Compact"/>
            </w:pPr>
            <w:r>
              <w:t xml:space="preserve">poor</w:t>
            </w:r>
          </w:p>
        </w:tc>
        <w:tc>
          <w:tcPr/>
          <w:p>
            <w:pPr>
              <w:pStyle w:val="Compact"/>
            </w:pPr>
            <w:r>
              <w:t xml:space="preserve">best</w:t>
            </w:r>
          </w:p>
        </w:tc>
      </w:tr>
    </w:tbl>
    <w:p>
      <w:pPr>
        <w:pStyle w:val="BodyText"/>
      </w:pPr>
      <w:r>
        <w:t xml:space="preserve">I went with C and put the A-style ensemble on top: only an open-set, content-independent method fits a product where users keep signing up. Keeping the classical verifier let me compare directly against the 9.6% baseline and reuse tested statistical code rather than bin it.</w:t>
      </w:r>
    </w:p>
    <w:bookmarkEnd w:id="14"/>
    <w:bookmarkStart w:id="15" w:name="X1942f35be20f8b38b86cabe0031b2b6fb0b4880"/>
    <w:p>
      <w:pPr>
        <w:pStyle w:val="Heading2"/>
      </w:pPr>
      <w:r>
        <w:t xml:space="preserve">1.4 The plan, and why this shape</w:t>
      </w:r>
    </w:p>
    <w:p>
      <w:pPr>
        <w:pStyle w:val="FirstParagraph"/>
      </w:pPr>
      <w:r>
        <w:t xml:space="preserve">The system has three parts, sharing exactly one thing — the trained model — across a clean boundary:</w:t>
      </w:r>
    </w:p>
    <w:p>
      <w:pPr>
        <w:pStyle w:val="Compact"/>
        <w:numPr>
          <w:ilvl w:val="0"/>
          <w:numId w:val="1002"/>
        </w:numPr>
      </w:pPr>
      <w:r>
        <w:rPr>
          <w:b/>
          <w:bCs/>
        </w:rPr>
        <w:t xml:space="preserve">Research harness</w:t>
      </w:r>
      <w:r>
        <w:t xml:space="preserve"> </w:t>
      </w:r>
      <w:r>
        <w:t xml:space="preserve">(</w:t>
      </w:r>
      <w:r>
        <w:rPr>
          <w:rStyle w:val="VerbatimChar"/>
        </w:rPr>
        <w:t xml:space="preserve">research/</w:t>
      </w:r>
      <w:r>
        <w:t xml:space="preserve">, PyTorch) —</w:t>
      </w:r>
      <w:r>
        <w:t xml:space="preserve"> </w:t>
      </w:r>
      <w:r>
        <w:rPr>
          <w:i/>
          <w:iCs/>
        </w:rPr>
        <w:t xml:space="preserve">makes</w:t>
      </w:r>
      <w:r>
        <w:t xml:space="preserve"> </w:t>
      </w:r>
      <w:r>
        <w:t xml:space="preserve">a frozen, versioned model reproducibly (fixed seeds, pinned dataset, recorded git commit).</w:t>
      </w:r>
    </w:p>
    <w:p>
      <w:pPr>
        <w:pStyle w:val="Compact"/>
        <w:numPr>
          <w:ilvl w:val="0"/>
          <w:numId w:val="1002"/>
        </w:numPr>
      </w:pPr>
      <w:r>
        <w:rPr>
          <w:b/>
          <w:bCs/>
        </w:rPr>
        <w:t xml:space="preserve">Inference service</w:t>
      </w:r>
      <w:r>
        <w:t xml:space="preserve"> </w:t>
      </w:r>
      <w:r>
        <w:t xml:space="preserve">(</w:t>
      </w:r>
      <w:r>
        <w:rPr>
          <w:rStyle w:val="VerbatimChar"/>
        </w:rPr>
        <w:t xml:space="preserve">ml-service/</w:t>
      </w:r>
      <w:r>
        <w:t xml:space="preserve">, FastAPI) —</w:t>
      </w:r>
      <w:r>
        <w:t xml:space="preserve"> </w:t>
      </w:r>
      <w:r>
        <w:rPr>
          <w:i/>
          <w:iCs/>
        </w:rPr>
        <w:t xml:space="preserve">serves</w:t>
      </w:r>
      <w:r>
        <w:t xml:space="preserve"> </w:t>
      </w:r>
      <w:r>
        <w:t xml:space="preserve">it through</w:t>
      </w:r>
      <w:r>
        <w:t xml:space="preserve"> </w:t>
      </w:r>
      <w:r>
        <w:rPr>
          <w:rStyle w:val="VerbatimChar"/>
        </w:rPr>
        <w:t xml:space="preserve">/embed</w:t>
      </w:r>
      <w:r>
        <w:t xml:space="preserve">,</w:t>
      </w:r>
      <w:r>
        <w:t xml:space="preserve"> </w:t>
      </w:r>
      <w:r>
        <w:rPr>
          <w:rStyle w:val="VerbatimChar"/>
        </w:rPr>
        <w:t xml:space="preserve">/verify</w:t>
      </w:r>
      <w:r>
        <w:t xml:space="preserve">,</w:t>
      </w:r>
      <w:r>
        <w:t xml:space="preserve"> </w:t>
      </w:r>
      <w:r>
        <w:rPr>
          <w:rStyle w:val="VerbatimChar"/>
        </w:rPr>
        <w:t xml:space="preserve">/health</w:t>
      </w:r>
      <w:r>
        <w:t xml:space="preserve">; holds the model in memory, stores nothing, logs no raw timings.</w:t>
      </w:r>
    </w:p>
    <w:p>
      <w:pPr>
        <w:pStyle w:val="Compact"/>
        <w:numPr>
          <w:ilvl w:val="0"/>
          <w:numId w:val="1002"/>
        </w:numPr>
      </w:pPr>
      <w:r>
        <w:rPr>
          <w:b/>
          <w:bCs/>
        </w:rPr>
        <w:t xml:space="preserve">Product shell</w:t>
      </w:r>
      <w:r>
        <w:t xml:space="preserve"> </w:t>
      </w:r>
      <w:r>
        <w:t xml:space="preserve">(Node.js / Express) — the existing web application; owns users and sessions, calls the service, enforces the decision.</w:t>
      </w:r>
    </w:p>
    <w:p>
      <w:pPr>
        <w:pStyle w:val="FirstParagraph"/>
      </w:pPr>
      <w:r>
        <w:t xml:space="preserve">Keeping the thing that</w:t>
      </w:r>
      <w:r>
        <w:t xml:space="preserve"> </w:t>
      </w:r>
      <w:r>
        <w:rPr>
          <w:i/>
          <w:iCs/>
        </w:rPr>
        <w:t xml:space="preserve">makes</w:t>
      </w:r>
      <w:r>
        <w:t xml:space="preserve"> </w:t>
      </w:r>
      <w:r>
        <w:t xml:space="preserve">the claim apart from the thing that</w:t>
      </w:r>
      <w:r>
        <w:t xml:space="preserve"> </w:t>
      </w:r>
      <w:r>
        <w:rPr>
          <w:i/>
          <w:iCs/>
        </w:rPr>
        <w:t xml:space="preserve">serves</w:t>
      </w:r>
      <w:r>
        <w:t xml:space="preserve"> </w:t>
      </w:r>
      <w:r>
        <w:t xml:space="preserve">it pays off: the live app never trains or touches a dataset, and the research never touches live user data. The two meet only at a single fixed contract (</w:t>
      </w:r>
      <w:r>
        <w:rPr>
          <w:rStyle w:val="VerbatimChar"/>
        </w:rPr>
        <w:t xml:space="preserve">EMBED_DIM = 128</w:t>
      </w:r>
      <w:r>
        <w:t xml:space="preserve">, L2-normalised). I also decided the failure behaviour up front: fail-safe, never fail-open. Any outage or version mismatch returns "indeterminate" and falls back to another factor, rather than quietly letting someone in. A security feature that admits everyone when it breaks is worse than none; that rule was non-negotiable, and it later caught a real bug (§7.5).</w:t>
      </w:r>
    </w:p>
    <w:bookmarkEnd w:id="15"/>
    <w:bookmarkStart w:id="16" w:name="X95370445369165ccabcb04beb0b90dbe99a7529"/>
    <w:p>
      <w:pPr>
        <w:pStyle w:val="Heading2"/>
      </w:pPr>
      <w:r>
        <w:t xml:space="preserve">1.5 Plan and progress</w:t>
      </w:r>
    </w:p>
    <w:p>
      <w:pPr>
        <w:pStyle w:val="FirstParagraph"/>
      </w:pPr>
      <w:r>
        <w:t xml:space="preserve">I ran the project in deliberate stages, each with a goal it had to meet before the next began. The first built the capture layer and two early statistical recognisers — enough to get real keystroke data and a baseline worth beating. Most of what follows is the stage after that: rebuilding the recogniser as a deep embedding, and learning to test it without fooling myself. Each stage was planned around the single question it had to answer, and that answer set the shape of the next. It's the main reason the closed-set trap in §7.1 surfaced at all — by then I'd trained myself to ask what would make a good result wrong.</w:t>
      </w:r>
    </w:p>
    <w:p>
      <w:pPr>
        <w:pStyle w:val="BodyText"/>
      </w:pPr>
      <w:r>
        <w:t xml:space="preserve">At the project level the work fell into four dated stages, each one gating the next: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When</w:t>
            </w:r>
          </w:p>
        </w:tc>
        <w:tc>
          <w:tcPr/>
          <w:p>
            <w:pPr>
              <w:pStyle w:val="Compact"/>
            </w:pPr>
            <w:r>
              <w:t xml:space="preserve">Stage</w:t>
            </w:r>
          </w:p>
        </w:tc>
        <w:tc>
          <w:tcPr/>
          <w:p>
            <w:pPr>
              <w:pStyle w:val="Compact"/>
            </w:pPr>
            <w:r>
              <w:t xml:space="preserve">Planned</w:t>
            </w:r>
          </w:p>
        </w:tc>
        <w:tc>
          <w:tcPr/>
          <w:p>
            <w:pPr>
              <w:pStyle w:val="Compact"/>
            </w:pPr>
            <w:r>
              <w:t xml:space="preserve">What actually happened</w:t>
            </w:r>
          </w:p>
        </w:tc>
      </w:tr>
      <w:tr>
        <w:tc>
          <w:tcPr/>
          <w:p>
            <w:pPr>
              <w:pStyle w:val="Compact"/>
            </w:pPr>
            <w:r>
              <w:t xml:space="preserve">Nov–Dec 2025</w:t>
            </w:r>
          </w:p>
        </w:tc>
        <w:tc>
          <w:tcPr/>
          <w:p>
            <w:pPr>
              <w:pStyle w:val="Compact"/>
            </w:pPr>
            <w:r>
              <w:t xml:space="preserve">Foundation</w:t>
            </w:r>
          </w:p>
        </w:tc>
        <w:tc>
          <w:tcPr/>
          <w:p>
            <w:pPr>
              <w:pStyle w:val="Compact"/>
            </w:pPr>
            <w:r>
              <w:t xml:space="preserve">Build the typing web application and a keystroke-capture layer</w:t>
            </w:r>
          </w:p>
        </w:tc>
        <w:tc>
          <w:tcPr/>
          <w:p>
            <w:pPr>
              <w:pStyle w:val="Compact"/>
            </w:pPr>
            <w:r>
              <w:t xml:space="preserve">Built; it became the real source of typing data the rest of the project stands on</w:t>
            </w:r>
          </w:p>
        </w:tc>
      </w:tr>
      <w:tr>
        <w:tc>
          <w:tcPr/>
          <w:p>
            <w:pPr>
              <w:pStyle w:val="Compact"/>
            </w:pPr>
            <w:r>
              <w:t xml:space="preserve">Feb–Mar 2026</w:t>
            </w:r>
          </w:p>
        </w:tc>
        <w:tc>
          <w:tcPr/>
          <w:p>
            <w:pPr>
              <w:pStyle w:val="Compact"/>
            </w:pPr>
            <w:r>
              <w:t xml:space="preserve">Accounts and first recognisers</w:t>
            </w:r>
          </w:p>
        </w:tc>
        <w:tc>
          <w:tcPr/>
          <w:p>
            <w:pPr>
              <w:pStyle w:val="Compact"/>
            </w:pPr>
            <w:r>
              <w:t xml:space="preserve">Add accounts and a first statistical keystroke check</w:t>
            </w:r>
          </w:p>
        </w:tc>
        <w:tc>
          <w:tcPr/>
          <w:p>
            <w:pPr>
              <w:pStyle w:val="Compact"/>
            </w:pPr>
            <w:r>
              <w:t xml:space="preserve">Built the v1/v2 statistical recognisers and the clean serving seam between research and product</w:t>
            </w:r>
          </w:p>
        </w:tc>
      </w:tr>
      <w:tr>
        <w:tc>
          <w:tcPr/>
          <w:p>
            <w:pPr>
              <w:pStyle w:val="Compact"/>
            </w:pPr>
            <w:r>
              <w:t xml:space="preserve">Jun 2026</w:t>
            </w:r>
          </w:p>
        </w:tc>
        <w:tc>
          <w:tcPr/>
          <w:p>
            <w:pPr>
              <w:pStyle w:val="Compact"/>
            </w:pPr>
            <w:r>
              <w:t xml:space="preserve">Deep-learning research</w:t>
            </w:r>
          </w:p>
        </w:tc>
        <w:tc>
          <w:tcPr/>
          <w:p>
            <w:pPr>
              <w:pStyle w:val="Compact"/>
            </w:pPr>
            <w:r>
              <w:t xml:space="preserve">Rebuild the recogniser as a deep embedding and evaluate it open-set</w:t>
            </w:r>
          </w:p>
        </w:tc>
        <w:tc>
          <w:tcPr/>
          <w:p>
            <w:pPr>
              <w:pStyle w:val="Compact"/>
            </w:pPr>
            <w:r>
              <w:t xml:space="preserve">Done — but with an unplanned protocol redesign (§7.1) and an added nested-validation ablation (§4.6)</w:t>
            </w:r>
          </w:p>
        </w:tc>
      </w:tr>
      <w:tr>
        <w:tc>
          <w:tcPr/>
          <w:p>
            <w:pPr>
              <w:pStyle w:val="Compact"/>
            </w:pPr>
            <w:r>
              <w:t xml:space="preserve">Jun 2026</w:t>
            </w:r>
          </w:p>
        </w:tc>
        <w:tc>
          <w:tcPr/>
          <w:p>
            <w:pPr>
              <w:pStyle w:val="Compact"/>
            </w:pPr>
            <w:r>
              <w:t xml:space="preserve">Write-up</w:t>
            </w:r>
          </w:p>
        </w:tc>
        <w:tc>
          <w:tcPr/>
          <w:p>
            <w:pPr>
              <w:pStyle w:val="Compact"/>
            </w:pPr>
            <w:r>
              <w:t xml:space="preserve">Report, ethics, reproducibility check</w:t>
            </w:r>
          </w:p>
        </w:tc>
        <w:tc>
          <w:tcPr/>
          <w:p>
            <w:pPr>
              <w:pStyle w:val="Compact"/>
            </w:pPr>
            <w:r>
              <w:t xml:space="preserve">Done</w:t>
            </w:r>
          </w:p>
        </w:tc>
      </w:tr>
    </w:tbl>
    <w:p>
      <w:pPr>
        <w:pStyle w:val="BodyText"/>
      </w:pPr>
      <w:r>
        <w:t xml:space="preserve">The research this report is about is the June stage; the earlier months built the product and the data it rests on. Concentrating the deep-learning work into one focused stage was deliberate — the foundation had to exist first, and once it did I wanted the research done in a tight, well-organised stretch with the evaluation protocol fixed before I wrote a line of the evaluator.</w:t>
      </w:r>
    </w:p>
    <w:p>
      <w:pPr>
        <w:pStyle w:val="BodyText"/>
      </w:pPr>
      <w:r>
        <w:t xml:space="preserve">CREST expects roughly 70 hours at Gold. My own estimate, broken down by phase of work, comes to about 84: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 of work</w:t>
            </w:r>
          </w:p>
        </w:tc>
        <w:tc>
          <w:tcPr/>
          <w:p>
            <w:pPr>
              <w:pStyle w:val="Compact"/>
            </w:pPr>
            <w:r>
              <w:t xml:space="preserve">Approx. hours</w:t>
            </w:r>
          </w:p>
        </w:tc>
        <w:tc>
          <w:tcPr/>
          <w:p>
            <w:pPr>
              <w:pStyle w:val="Compact"/>
            </w:pPr>
            <w:r>
              <w:t xml:space="preserve">Evidence</w:t>
            </w:r>
          </w:p>
        </w:tc>
      </w:tr>
      <w:tr>
        <w:tc>
          <w:tcPr/>
          <w:p>
            <w:pPr>
              <w:pStyle w:val="Compact"/>
            </w:pPr>
            <w:r>
              <w:t xml:space="preserve">Background reading (CREST research; ~18 papers; CMU, TypeNet, FaceNet, Ledoit–Wolf, GDPR)</w:t>
            </w:r>
          </w:p>
        </w:tc>
        <w:tc>
          <w:tcPr/>
          <w:p>
            <w:pPr>
              <w:pStyle w:val="Compact"/>
            </w:pPr>
            <w:r>
              <w:t xml:space="preserve">~10</w:t>
            </w:r>
          </w:p>
        </w:tc>
        <w:tc>
          <w:tcPr/>
          <w:p>
            <w:pPr>
              <w:pStyle w:val="Compact"/>
            </w:pPr>
            <w:r>
              <w:t xml:space="preserve">§2, §12, dossier</w:t>
            </w:r>
          </w:p>
        </w:tc>
      </w:tr>
      <w:tr>
        <w:tc>
          <w:tcPr/>
          <w:p>
            <w:pPr>
              <w:pStyle w:val="Compact"/>
            </w:pPr>
            <w:r>
              <w:t xml:space="preserve">Product-shell work relevant to the research (capture v1/v2, the serving seam)</w:t>
            </w:r>
          </w:p>
        </w:tc>
        <w:tc>
          <w:tcPr/>
          <w:p>
            <w:pPr>
              <w:pStyle w:val="Compact"/>
            </w:pPr>
            <w:r>
              <w:t xml:space="preserve">~14</w:t>
            </w:r>
          </w:p>
        </w:tc>
        <w:tc>
          <w:tcPr/>
          <w:p>
            <w:pPr>
              <w:pStyle w:val="Compact"/>
            </w:pPr>
            <w:r>
              <w:t xml:space="preserve">37 foundation commits</w:t>
            </w:r>
          </w:p>
        </w:tc>
      </w:tr>
      <w:tr>
        <w:tc>
          <w:tcPr/>
          <w:p>
            <w:pPr>
              <w:pStyle w:val="Compact"/>
            </w:pPr>
            <w:r>
              <w:t xml:space="preserve">Research design (architecture, the fixed contract, the open-set protocol)</w:t>
            </w:r>
          </w:p>
        </w:tc>
        <w:tc>
          <w:tcPr/>
          <w:p>
            <w:pPr>
              <w:pStyle w:val="Compact"/>
            </w:pPr>
            <w:r>
              <w:t xml:space="preserve">~8</w:t>
            </w:r>
          </w:p>
        </w:tc>
        <w:tc>
          <w:tcPr/>
          <w:p>
            <w:pPr>
              <w:pStyle w:val="Compact"/>
            </w:pPr>
            <w:r>
              <w:t xml:space="preserve">Design-spec commit</w:t>
            </w:r>
          </w:p>
        </w:tc>
      </w:tr>
      <w:tr>
        <w:tc>
          <w:tcPr/>
          <w:p>
            <w:pPr>
              <w:pStyle w:val="Compact"/>
            </w:pPr>
            <w:r>
              <w:t xml:space="preserve">Implementation (encoder, triplet loss, ensemble, evaluator, profile builder, service)</w:t>
            </w:r>
          </w:p>
        </w:tc>
        <w:tc>
          <w:tcPr/>
          <w:p>
            <w:pPr>
              <w:pStyle w:val="Compact"/>
            </w:pPr>
            <w:r>
              <w:t xml:space="preserve">~20</w:t>
            </w:r>
          </w:p>
        </w:tc>
        <w:tc>
          <w:tcPr/>
          <w:p>
            <w:pPr>
              <w:pStyle w:val="Compact"/>
            </w:pPr>
            <w:r>
              <w:t xml:space="preserve">development commits</w:t>
            </w:r>
          </w:p>
        </w:tc>
      </w:tr>
      <w:tr>
        <w:tc>
          <w:tcPr/>
          <w:p>
            <w:pPr>
              <w:pStyle w:val="Compact"/>
            </w:pPr>
            <w:r>
              <w:t xml:space="preserve">Experiments and debugging (training runs, open-set fix, the 13 problems, the ablation)</w:t>
            </w:r>
          </w:p>
        </w:tc>
        <w:tc>
          <w:tcPr/>
          <w:p>
            <w:pPr>
              <w:pStyle w:val="Compact"/>
            </w:pPr>
            <w:r>
              <w:t xml:space="preserve">~14</w:t>
            </w:r>
          </w:p>
        </w:tc>
        <w:tc>
          <w:tcPr/>
          <w:p>
            <w:pPr>
              <w:pStyle w:val="Compact"/>
            </w:pPr>
            <w:r>
              <w:t xml:space="preserve">§7, metrics, sweep results</w:t>
            </w:r>
          </w:p>
        </w:tc>
      </w:tr>
      <w:tr>
        <w:tc>
          <w:tcPr/>
          <w:p>
            <w:pPr>
              <w:pStyle w:val="Compact"/>
            </w:pPr>
            <w:r>
              <w:t xml:space="preserve">Analysis and figures (EER, DET, t-SNE, per-subject, ablation)</w:t>
            </w:r>
          </w:p>
        </w:tc>
        <w:tc>
          <w:tcPr/>
          <w:p>
            <w:pPr>
              <w:pStyle w:val="Compact"/>
            </w:pPr>
            <w:r>
              <w:t xml:space="preserve">~6</w:t>
            </w:r>
          </w:p>
        </w:tc>
        <w:tc>
          <w:tcPr/>
          <w:p>
            <w:pPr>
              <w:pStyle w:val="Compact"/>
            </w:pPr>
            <w:r>
              <w:t xml:space="preserve">§4, figures</w:t>
            </w:r>
          </w:p>
        </w:tc>
      </w:tr>
      <w:tr>
        <w:tc>
          <w:tcPr/>
          <w:p>
            <w:pPr>
              <w:pStyle w:val="Compact"/>
            </w:pPr>
            <w:r>
              <w:t xml:space="preserve">Writing, ethics and reflection</w:t>
            </w:r>
          </w:p>
        </w:tc>
        <w:tc>
          <w:tcPr/>
          <w:p>
            <w:pPr>
              <w:pStyle w:val="Compact"/>
            </w:pPr>
            <w:r>
              <w:t xml:space="preserve">~12</w:t>
            </w:r>
          </w:p>
        </w:tc>
        <w:tc>
          <w:tcPr/>
          <w:p>
            <w:pPr>
              <w:pStyle w:val="Compact"/>
            </w:pPr>
            <w:r>
              <w:t xml:space="preserve">this report</w:t>
            </w:r>
          </w:p>
        </w:tc>
      </w:tr>
      <w:tr>
        <w:tc>
          <w:tcPr/>
          <w:p>
            <w:pPr>
              <w:pStyle w:val="Compact"/>
            </w:pPr>
            <w:r>
              <w:rPr>
                <w:b/>
                <w:bCs/>
              </w:rPr>
              <w:t xml:space="preserve">Total</w:t>
            </w:r>
          </w:p>
        </w:tc>
        <w:tc>
          <w:tcPr/>
          <w:p>
            <w:pPr>
              <w:pStyle w:val="Compact"/>
            </w:pPr>
            <w:r>
              <w:rPr>
                <w:b/>
                <w:bCs/>
              </w:rPr>
              <w:t xml:space="preserve">~84</w:t>
            </w:r>
          </w:p>
        </w:tc>
        <w:tc>
          <w:tcPr/>
          <w:p>
            <w:pPr>
              <w:pStyle w:val="Compact"/>
            </w:pPr>
          </w:p>
        </w:tc>
      </w:tr>
    </w:tbl>
    <w:p>
      <w:pPr>
        <w:pStyle w:val="BodyText"/>
      </w:pPr>
      <w:r>
        <w:t xml:space="preserve">I made two deliberate changes of plan. I deferred GPU training, since the model trained in about 23 minutes on my laptop for £0, so a ~£0.10–0.50 cloud step plus its dependency wasn't worth it. And I scaled free-text Phase-2 back to "pipeline proven, real corpus deferred" rather than spend limited time on the 136-million-keystroke Aalto corpus (§9). The planned-versus-actual view makes the three replans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Planned</w:t>
            </w:r>
          </w:p>
        </w:tc>
        <w:tc>
          <w:tcPr/>
          <w:p>
            <w:pPr>
              <w:pStyle w:val="Compact"/>
            </w:pPr>
            <w:r>
              <w:t xml:space="preserve">Actual</w:t>
            </w:r>
          </w:p>
        </w:tc>
        <w:tc>
          <w:tcPr/>
          <w:p>
            <w:pPr>
              <w:pStyle w:val="Compact"/>
            </w:pPr>
            <w:r>
              <w:t xml:space="preserve">Why it changed</w:t>
            </w:r>
          </w:p>
        </w:tc>
      </w:tr>
      <w:tr>
        <w:tc>
          <w:tcPr/>
          <w:p>
            <w:pPr>
              <w:pStyle w:val="Compact"/>
            </w:pPr>
            <w:r>
              <w:t xml:space="preserve">Write the evaluator, then measure the EER</w:t>
            </w:r>
          </w:p>
        </w:tc>
        <w:tc>
          <w:tcPr/>
          <w:p>
            <w:pPr>
              <w:pStyle w:val="Compact"/>
            </w:pPr>
            <w:r>
              <w:t xml:space="preserve">Wrote it, caught a closed-set flaw, rebuilt the protocol,</w:t>
            </w:r>
            <w:r>
              <w:t xml:space="preserve"> </w:t>
            </w:r>
            <w:r>
              <w:rPr>
                <w:i/>
                <w:iCs/>
              </w:rPr>
              <w:t xml:space="preserve">then</w:t>
            </w:r>
            <w:r>
              <w:t xml:space="preserve"> </w:t>
            </w:r>
            <w:r>
              <w:t xml:space="preserve">measured</w:t>
            </w:r>
          </w:p>
        </w:tc>
        <w:tc>
          <w:tcPr/>
          <w:p>
            <w:pPr>
              <w:pStyle w:val="Compact"/>
            </w:pPr>
            <w:r>
              <w:t xml:space="preserve">The biggest replan: the closed-set bug (§7.1) forced an unplanned protocol redesign part-way through</w:t>
            </w:r>
          </w:p>
        </w:tc>
      </w:tr>
      <w:tr>
        <w:tc>
          <w:tcPr/>
          <w:p>
            <w:pPr>
              <w:pStyle w:val="Compact"/>
            </w:pPr>
            <w:r>
              <w:t xml:space="preserve">Train on a cloud GPU</w:t>
            </w:r>
          </w:p>
        </w:tc>
        <w:tc>
          <w:tcPr/>
          <w:p>
            <w:pPr>
              <w:pStyle w:val="Compact"/>
            </w:pPr>
            <w:r>
              <w:t xml:space="preserve">Trained on local CPU (~23 min, £0)</w:t>
            </w:r>
          </w:p>
        </w:tc>
        <w:tc>
          <w:tcPr/>
          <w:p>
            <w:pPr>
              <w:pStyle w:val="Compact"/>
            </w:pPr>
            <w:r>
              <w:t xml:space="preserve">The model was small enough to train on a laptop, which removed the cost and an external dependency and made the result easier to reproduce</w:t>
            </w:r>
          </w:p>
        </w:tc>
      </w:tr>
      <w:tr>
        <w:tc>
          <w:tcPr/>
          <w:p>
            <w:pPr>
              <w:pStyle w:val="Compact"/>
            </w:pPr>
            <w:r>
              <w:t xml:space="preserve">Phase-2 free text on the real Aalto corpus</w:t>
            </w:r>
          </w:p>
        </w:tc>
        <w:tc>
          <w:tcPr/>
          <w:p>
            <w:pPr>
              <w:pStyle w:val="Compact"/>
            </w:pPr>
            <w:r>
              <w:t xml:space="preserve">Pipeline built and proven on a fixture; the real-corpus run deferred to future work</w:t>
            </w:r>
          </w:p>
        </w:tc>
        <w:tc>
          <w:tcPr/>
          <w:p>
            <w:pPr>
              <w:pStyle w:val="Compact"/>
            </w:pPr>
            <w:r>
              <w:t xml:space="preserve">Downloading the 136-million-keystroke corpus was more schedule risk than value within the project's limited timeframe (§9)</w:t>
            </w:r>
          </w:p>
        </w:tc>
      </w:tr>
    </w:tbl>
    <w:bookmarkEnd w:id="16"/>
    <w:bookmarkStart w:id="17" w:name="X0281b7bbf43d20aaa3ba8b204f82a02a7b45dc9"/>
    <w:p>
      <w:pPr>
        <w:pStyle w:val="Heading2"/>
      </w:pPr>
      <w:r>
        <w:t xml:space="preserve">1.6 Materials, tools and people</w:t>
      </w:r>
    </w:p>
    <w:p>
      <w:pPr>
        <w:pStyle w:val="Compact"/>
        <w:numPr>
          <w:ilvl w:val="0"/>
          <w:numId w:val="1003"/>
        </w:numPr>
      </w:pPr>
      <w:r>
        <w:rPr>
          <w:b/>
          <w:bCs/>
        </w:rPr>
        <w:t xml:space="preserve">Dataset:</w:t>
      </w:r>
      <w:r>
        <w:t xml:space="preserve"> </w:t>
      </w:r>
      <w:r>
        <w:t xml:space="preserve">the CMU Keystroke Dynamics Benchmark (</w:t>
      </w:r>
      <w:r>
        <w:rPr>
          <w:rStyle w:val="VerbatimChar"/>
        </w:rPr>
        <w:t xml:space="preserve">DSL-StrongPasswordData.csv</w:t>
      </w:r>
      <w:r>
        <w:t xml:space="preserve">), Killourhy &amp; Maxion, Carnegie Mellon. 51 people, 400 repetitions each of</w:t>
      </w:r>
      <w:r>
        <w:t xml:space="preserve"> </w:t>
      </w:r>
      <w:r>
        <w:rPr>
          <w:rStyle w:val="VerbatimChar"/>
        </w:rPr>
        <w:t xml:space="preserve">.tie5Roanl</w:t>
      </w:r>
      <w:r>
        <w:t xml:space="preserve">. Taken from the authors' public page and pinned by SHA-256.</w:t>
      </w:r>
    </w:p>
    <w:p>
      <w:pPr>
        <w:pStyle w:val="Compact"/>
        <w:numPr>
          <w:ilvl w:val="0"/>
          <w:numId w:val="1003"/>
        </w:numPr>
      </w:pPr>
      <w:r>
        <w:rPr>
          <w:b/>
          <w:bCs/>
        </w:rPr>
        <w:t xml:space="preserve">Languages and libraries:</w:t>
      </w:r>
      <w:r>
        <w:t xml:space="preserve"> </w:t>
      </w:r>
      <w:r>
        <w:t xml:space="preserve">Python 3.12; PyTorch 2.12 (CPU) for the network; NumPy for the ensemble; FastAPI + Uvicorn for the service; scikit-learn (t-SNE) and Matplotlib for figures; Node.js / Express for the product; Jest and pytest for testing.</w:t>
      </w:r>
    </w:p>
    <w:p>
      <w:pPr>
        <w:pStyle w:val="Compact"/>
        <w:numPr>
          <w:ilvl w:val="0"/>
          <w:numId w:val="1003"/>
        </w:numPr>
      </w:pPr>
      <w:r>
        <w:rPr>
          <w:b/>
          <w:bCs/>
        </w:rPr>
        <w:t xml:space="preserve">Statistical method:</w:t>
      </w:r>
      <w:r>
        <w:t xml:space="preserve"> </w:t>
      </w:r>
      <w:r>
        <w:t xml:space="preserve">the Ledoit–Wolf shrinkage covariance estimator, cross-checked against scikit-learn's implementation.</w:t>
      </w:r>
    </w:p>
    <w:p>
      <w:pPr>
        <w:pStyle w:val="Compact"/>
        <w:numPr>
          <w:ilvl w:val="0"/>
          <w:numId w:val="1003"/>
        </w:numPr>
      </w:pPr>
      <w:r>
        <w:rPr>
          <w:b/>
          <w:bCs/>
        </w:rPr>
        <w:t xml:space="preserve">Infrastructure considered:</w:t>
      </w:r>
      <w:r>
        <w:t xml:space="preserve"> </w:t>
      </w:r>
      <w:r>
        <w:t xml:space="preserve">Modal (serverless GPU) for a future deployment, configured but not run, to avoid cost.</w:t>
      </w:r>
    </w:p>
    <w:p>
      <w:pPr>
        <w:pStyle w:val="Compact"/>
        <w:numPr>
          <w:ilvl w:val="0"/>
          <w:numId w:val="1003"/>
        </w:numPr>
      </w:pPr>
      <w:r>
        <w:rPr>
          <w:b/>
          <w:bCs/>
        </w:rPr>
        <w:t xml:space="preserve">Tooling:</w:t>
      </w:r>
      <w:r>
        <w:t xml:space="preserve"> </w:t>
      </w:r>
      <w:r>
        <w:t xml:space="preserve">Git (version control, and a handy dated logbook); the Claude Code AI assistant (fully disclosed in §11).</w:t>
      </w:r>
    </w:p>
    <w:p>
      <w:pPr>
        <w:pStyle w:val="Compact"/>
        <w:numPr>
          <w:ilvl w:val="0"/>
          <w:numId w:val="1003"/>
        </w:numPr>
      </w:pPr>
      <w:r>
        <w:rPr>
          <w:b/>
          <w:bCs/>
        </w:rPr>
        <w:t xml:space="preserve">People:</w:t>
      </w:r>
      <w:r>
        <w:t xml:space="preserve"> </w:t>
      </w:r>
      <w:r>
        <w:t xml:space="preserve">an independent project with no mentor. The "people" side came from the wider research community: the authors whose methods I built on (Killourhy &amp; Maxion; the FaceNet and TypeNet teams; Ledoit &amp; Wolf), the maintainers of the libraries I used, and the standards I read (ISO/IEC 19795-1; the ICO's GDPR guidance). The job a mentor usually does, being the second person who distrusts a convenient result, I had to do myself by auditing my own work; that is how the most important mistake got caught (§7.1). The lack of an outside reviewer is a real limitation, noted in §9.</w:t>
      </w:r>
    </w:p>
    <w:bookmarkEnd w:id="17"/>
    <w:bookmarkEnd w:id="18"/>
    <w:bookmarkStart w:id="23" w:name="Xa2867e66dff3a3e01068213394d2f17af3efc2e"/>
    <w:p>
      <w:pPr>
        <w:pStyle w:val="Heading1"/>
      </w:pPr>
      <w:r>
        <w:t xml:space="preserve">2. Background and literature</w:t>
      </w:r>
    </w:p>
    <w:p>
      <w:pPr>
        <w:pStyle w:val="FirstParagraph"/>
      </w:pPr>
      <w:r>
        <w:t xml:space="preserve">This section sets out the science the project rests on and pulls the prior work together to find the gap, joining threads rather than summarising paper by paper.</w:t>
      </w:r>
    </w:p>
    <w:bookmarkStart w:id="19" w:name="X6ec645cc634c7abd64bff2941eeadcd0d022c26"/>
    <w:p>
      <w:pPr>
        <w:pStyle w:val="Heading2"/>
      </w:pPr>
      <w:r>
        <w:t xml:space="preserve">2.1 Keystroke dynamics as a behavioural biometric</w:t>
      </w:r>
    </w:p>
    <w:p>
      <w:pPr>
        <w:pStyle w:val="FirstParagraph"/>
      </w:pPr>
      <w:r>
        <w:t xml:space="preserve">Biometrics split into two kinds. Physiological ones (fingerprint, iris, face) describe what you</w:t>
      </w:r>
      <w:r>
        <w:t xml:space="preserve"> </w:t>
      </w:r>
      <w:r>
        <w:rPr>
          <w:i/>
          <w:iCs/>
        </w:rPr>
        <w:t xml:space="preserve">are</w:t>
      </w:r>
      <w:r>
        <w:t xml:space="preserve">. Behavioural ones (signature, gait, typing rhythm) describe how you</w:t>
      </w:r>
      <w:r>
        <w:t xml:space="preserve"> </w:t>
      </w:r>
      <w:r>
        <w:rPr>
          <w:i/>
          <w:iCs/>
        </w:rPr>
        <w:t xml:space="preserve">behave</w:t>
      </w:r>
      <w:r>
        <w:t xml:space="preserve">. Keystroke dynamics is behavioural: it describes a person by the timing of their typing, not its content. The basic measurements are inter-key timings:</w:t>
      </w:r>
    </w:p>
    <w:p>
      <w:pPr>
        <w:pStyle w:val="Compact"/>
        <w:numPr>
          <w:ilvl w:val="0"/>
          <w:numId w:val="1004"/>
        </w:numPr>
      </w:pPr>
      <w:r>
        <w:rPr>
          <w:b/>
          <w:bCs/>
        </w:rPr>
        <w:t xml:space="preserve">Hold time (dwell):</w:t>
      </w:r>
      <w:r>
        <w:t xml:space="preserve"> </w:t>
      </w:r>
      <w:r>
        <w:t xml:space="preserve">how long a key is held down.</w:t>
      </w:r>
    </w:p>
    <w:p>
      <w:pPr>
        <w:pStyle w:val="Compact"/>
        <w:numPr>
          <w:ilvl w:val="0"/>
          <w:numId w:val="1004"/>
        </w:numPr>
      </w:pPr>
      <w:r>
        <w:rPr>
          <w:b/>
          <w:bCs/>
        </w:rPr>
        <w:t xml:space="preserve">Down–down latency:</w:t>
      </w:r>
      <w:r>
        <w:t xml:space="preserve"> </w:t>
      </w:r>
      <w:r>
        <w:t xml:space="preserve">time between pressing one key and the next.</w:t>
      </w:r>
    </w:p>
    <w:p>
      <w:pPr>
        <w:pStyle w:val="Compact"/>
        <w:numPr>
          <w:ilvl w:val="0"/>
          <w:numId w:val="1004"/>
        </w:numPr>
      </w:pPr>
      <w:r>
        <w:rPr>
          <w:b/>
          <w:bCs/>
        </w:rPr>
        <w:t xml:space="preserve">Up–down latency (flight time):</w:t>
      </w:r>
      <w:r>
        <w:t xml:space="preserve"> </w:t>
      </w:r>
      <w:r>
        <w:t xml:space="preserve">time between releasing one key and pressing the next.</w:t>
      </w:r>
    </w:p>
    <w:p>
      <w:pPr>
        <w:pStyle w:val="Compact"/>
        <w:numPr>
          <w:ilvl w:val="0"/>
          <w:numId w:val="1004"/>
        </w:numPr>
      </w:pPr>
      <w:r>
        <w:rPr>
          <w:b/>
          <w:bCs/>
        </w:rPr>
        <w:t xml:space="preserve">Up–up latency:</w:t>
      </w:r>
      <w:r>
        <w:t xml:space="preserve"> </w:t>
      </w:r>
      <w:r>
        <w:t xml:space="preserve">time between releasing consecutive keys.</w:t>
      </w:r>
    </w:p>
    <w:p>
      <w:pPr>
        <w:pStyle w:val="FirstParagraph"/>
      </w:pPr>
      <w:r>
        <w:t xml:space="preserve">These are surprisingly personal, coming from motor habits and hand geometry that are hard to fake on purpose. Fixed-text recognition, where everyone types the same string (the CMU benchmark), is the easier case: you can compare matching keystrokes directly. Free-text recognition — anything the person types, what continuous authentication needs — demands a content-independent model that learns rhythm regardless of the words. A recent ACM Computing Surveys review (2024/25) describes the field moving from hand-built statistical detectors in the 2000s to deep representation learning in the 2020s. That transition is exactly where this project sits.</w:t>
      </w:r>
    </w:p>
    <w:bookmarkEnd w:id="19"/>
    <w:bookmarkStart w:id="20" w:name="Xc366ef9c3cd14a11929c7120c48240a7a62b529"/>
    <w:p>
      <w:pPr>
        <w:pStyle w:val="Heading2"/>
      </w:pPr>
      <w:r>
        <w:t xml:space="preserve">2.2 Metric learning and embeddings</w:t>
      </w:r>
    </w:p>
    <w:p>
      <w:pPr>
        <w:pStyle w:val="FirstParagraph"/>
      </w:pPr>
      <w:r>
        <w:t xml:space="preserve">The key move in modern biometrics is to stop asking "which known user is this?" (classification) and instead learn an</w:t>
      </w:r>
      <w:r>
        <w:t xml:space="preserve"> </w:t>
      </w:r>
      <w:r>
        <w:rPr>
          <w:i/>
          <w:iCs/>
        </w:rPr>
        <w:t xml:space="preserve">embedding</w:t>
      </w:r>
      <w:r>
        <w:t xml:space="preserve">: a function mapping an input into a vector space where distance encodes identity. FaceNet (Schroff et al., 2015) set the template — a network trained with a triplet loss so embeddings of the same person sit close and different people far apart. A triplet is (anchor, positive, negative): same, same, different. The loss pushes the anchor–positive distance below the anchor–negative distance by a margin:</w:t>
      </w:r>
    </w:p>
    <w:p>
      <w:pPr>
        <w:pStyle w:val="BlockText"/>
      </w:pPr>
      <w:r>
        <w:rPr>
          <w:rStyle w:val="VerbatimChar"/>
        </w:rPr>
        <w:t xml:space="preserve">L = max(0, d(anchor, positive) − d(anchor, negative) + margin)</w:t>
      </w:r>
    </w:p>
    <w:p>
      <w:pPr>
        <w:pStyle w:val="FirstParagraph"/>
      </w:pPr>
      <w:r>
        <w:t xml:space="preserve">FaceNet used a 128-D embedding and reached 99.6% on faces. I use the same 128-D, L2-normalised design for keystrokes. Hermans et al. (2017) showed</w:t>
      </w:r>
      <w:r>
        <w:t xml:space="preserve"> </w:t>
      </w:r>
      <w:r>
        <w:rPr>
          <w:i/>
          <w:iCs/>
        </w:rPr>
        <w:t xml:space="preserve">which</w:t>
      </w:r>
      <w:r>
        <w:t xml:space="preserve"> </w:t>
      </w:r>
      <w:r>
        <w:t xml:space="preserve">triplets you pick matters, and that batch-hard mining (for each anchor, the hardest positive and hardest negative in the mini-batch) is a simple, strong choice, so I use it. Wen et al. (2016) added a center loss that pulls each class toward its centre; I add a small amount to keep per-user spread under control. L2-normalisation, dividing each embedding by its length so it lands on the unit sphere, makes distance depend on</w:t>
      </w:r>
      <w:r>
        <w:t xml:space="preserve"> </w:t>
      </w:r>
      <w:r>
        <w:rPr>
          <w:i/>
          <w:iCs/>
        </w:rPr>
        <w:t xml:space="preserve">direction</w:t>
      </w:r>
      <w:r>
        <w:t xml:space="preserve"> </w:t>
      </w:r>
      <w:r>
        <w:t xml:space="preserve">rather than magnitude — the right thing for comparing rhythm patterns.</w:t>
      </w:r>
    </w:p>
    <w:bookmarkEnd w:id="20"/>
    <w:bookmarkStart w:id="21" w:name="X6b117fe0968d7bc486a514a0ed530e2cab56573"/>
    <w:p>
      <w:pPr>
        <w:pStyle w:val="Heading2"/>
      </w:pPr>
      <w:r>
        <w:t xml:space="preserve">2.3 The decision, and how you measure it</w:t>
      </w:r>
    </w:p>
    <w:p>
      <w:pPr>
        <w:pStyle w:val="FirstParagraph"/>
      </w:pPr>
      <w:r>
        <w:t xml:space="preserve">A raw embedding is not a decision yet. The verifier turns "how far is this window from the user's profile?" into accept or reject, using three distances together:</w:t>
      </w:r>
    </w:p>
    <w:p>
      <w:pPr>
        <w:pStyle w:val="Compact"/>
        <w:numPr>
          <w:ilvl w:val="0"/>
          <w:numId w:val="1005"/>
        </w:numPr>
      </w:pPr>
      <w:r>
        <w:rPr>
          <w:b/>
          <w:bCs/>
        </w:rPr>
        <w:t xml:space="preserve">Scaled-Manhattan:</w:t>
      </w:r>
      <w:r>
        <w:t xml:space="preserve"> </w:t>
      </w:r>
      <w:r>
        <w:t xml:space="preserve">mean absolute deviation from the user's mean, scaled by per-feature spread. This is the exact form of the best CMU detector, which gives a like-for-like comparison.</w:t>
      </w:r>
    </w:p>
    <w:p>
      <w:pPr>
        <w:pStyle w:val="Compact"/>
        <w:numPr>
          <w:ilvl w:val="0"/>
          <w:numId w:val="1005"/>
        </w:numPr>
      </w:pPr>
      <w:r>
        <w:rPr>
          <w:b/>
          <w:bCs/>
        </w:rPr>
        <w:t xml:space="preserve">Mahalanobis:</w:t>
      </w:r>
      <w:r>
        <w:t xml:space="preserve"> </w:t>
      </w:r>
      <w:r>
        <w:t xml:space="preserve">accounts for correlations between dimensions through the inverse covariance matrix. With only a handful of enrolment samples in 128 dimensions, the raw sample covariance is unstable and not even invertible, so I use Ledoit–Wolf shrinkage (Ledoit &amp; Wolf, 2004). It blends the sample covariance with a well-behaved target to guarantee a stable, invertible matrix — precisely the small-sample, high-dimensional situation enrolment lives in.</w:t>
      </w:r>
    </w:p>
    <w:p>
      <w:pPr>
        <w:pStyle w:val="Compact"/>
        <w:numPr>
          <w:ilvl w:val="0"/>
          <w:numId w:val="1005"/>
        </w:numPr>
      </w:pPr>
      <w:r>
        <w:rPr>
          <w:b/>
          <w:bCs/>
        </w:rPr>
        <w:t xml:space="preserve">Nearest-neighbour:</w:t>
      </w:r>
      <w:r>
        <w:t xml:space="preserve"> </w:t>
      </w:r>
      <w:r>
        <w:t xml:space="preserve">mean distance to the</w:t>
      </w:r>
      <w:r>
        <w:t xml:space="preserve"> </w:t>
      </w:r>
      <w:r>
        <w:rPr>
          <w:i/>
          <w:iCs/>
        </w:rPr>
        <w:t xml:space="preserve">k</w:t>
      </w:r>
      <w:r>
        <w:t xml:space="preserve"> </w:t>
      </w:r>
      <w:r>
        <w:t xml:space="preserve">closest enrolment embeddings (</w:t>
      </w:r>
      <w:r>
        <w:rPr>
          <w:i/>
          <w:iCs/>
        </w:rPr>
        <w:t xml:space="preserve">k</w:t>
      </w:r>
      <w:r>
        <w:t xml:space="preserve"> </w:t>
      </w:r>
      <w:r>
        <w:t xml:space="preserve">= 3), which copes with people who type in more than one way.</w:t>
      </w:r>
    </w:p>
    <w:p>
      <w:pPr>
        <w:pStyle w:val="FirstParagraph"/>
      </w:pPr>
      <w:r>
        <w:t xml:space="preserve">These play two distinct roles, and it matters not to blur them. Scaled-Manhattan on its own is the</w:t>
      </w:r>
      <w:r>
        <w:t xml:space="preserve"> </w:t>
      </w:r>
      <w:r>
        <w:rPr>
          <w:i/>
          <w:iCs/>
        </w:rPr>
        <w:t xml:space="preserve">headline</w:t>
      </w:r>
      <w:r>
        <w:t xml:space="preserve"> </w:t>
      </w:r>
      <w:r>
        <w:t xml:space="preserve">number, kept deliberately as the exact form of the published detector so the comparison is like-for-like. The</w:t>
      </w:r>
      <w:r>
        <w:t xml:space="preserve"> </w:t>
      </w:r>
      <w:r>
        <w:rPr>
          <w:i/>
          <w:iCs/>
        </w:rPr>
        <w:t xml:space="preserve">production</w:t>
      </w:r>
      <w:r>
        <w:t xml:space="preserve"> </w:t>
      </w:r>
      <w:r>
        <w:t xml:space="preserve">verifier is a separate, fused ensemble: the unweighted mean of an L1 distance to the centroid, the nearest-neighbour distance, and the Ledoit–Wolf Mahalanobis distance (the exact fusion is in §3.5). I never score the fused ensemble against the scaled-Manhattan baseline, which would rig the comparison in my favour.</w:t>
      </w:r>
    </w:p>
    <w:p>
      <w:pPr>
        <w:pStyle w:val="BodyText"/>
      </w:pPr>
      <w:r>
        <w:t xml:space="preserve">A verifier makes two errors: accepting an impostor (False Accept Rate, FAR) or rejecting a genuine user (False Reject Rate, FRR); moving the threshold trades one for the other. The Equal Error Rate (EER) is the point where FAR = FRR. It is the standard single-number summary of a biometric, lower is better, and plotting FAR against FRR across thresholds gives the Detection Error Trade-off (DET) curve. These follow ISO/IEC 19795-1.</w:t>
      </w:r>
    </w:p>
    <w:bookmarkEnd w:id="21"/>
    <w:bookmarkStart w:id="22" w:name="X3eea2ce185dcd5535f4d3407813ad7a9c734ed3"/>
    <w:p>
      <w:pPr>
        <w:pStyle w:val="Heading2"/>
      </w:pPr>
      <w:r>
        <w:t xml:space="preserve">2.4 Prior work and the gap</w:t>
      </w:r>
    </w:p>
    <w:p>
      <w:pPr>
        <w:pStyle w:val="FirstParagraph"/>
      </w:pPr>
      <w:r>
        <w:t xml:space="preserve">Two reference points bracket this project.</w:t>
      </w:r>
    </w:p>
    <w:p>
      <w:pPr>
        <w:pStyle w:val="Compact"/>
        <w:numPr>
          <w:ilvl w:val="0"/>
          <w:numId w:val="1006"/>
        </w:numPr>
      </w:pPr>
      <w:r>
        <w:rPr>
          <w:b/>
          <w:bCs/>
        </w:rPr>
        <w:t xml:space="preserve">The classical benchmark, Killourhy &amp; Maxion (2009).</w:t>
      </w:r>
      <w:r>
        <w:t xml:space="preserve"> </w:t>
      </w:r>
      <w:r>
        <w:t xml:space="preserve">They collected the CMU dataset (51 people × 400 reps of</w:t>
      </w:r>
      <w:r>
        <w:t xml:space="preserve"> </w:t>
      </w:r>
      <w:r>
        <w:rPr>
          <w:rStyle w:val="VerbatimChar"/>
        </w:rPr>
        <w:t xml:space="preserve">.tie5Roanl</w:t>
      </w:r>
      <w:r>
        <w:t xml:space="preserve">) and compared 14 anomaly detectors; the best, scaled-Manhattan, reached EER 0.0962 (9.6%) — the number I measure against. Their study is rigorous but bounded by design: it is fixed-text only (one 10-character password), each detector is hand-engineered on raw timing features, and nothing in it speaks to free text or to whether a</w:t>
      </w:r>
      <w:r>
        <w:t xml:space="preserve"> </w:t>
      </w:r>
      <w:r>
        <w:rPr>
          <w:i/>
          <w:iCs/>
        </w:rPr>
        <w:t xml:space="preserve">learned</w:t>
      </w:r>
      <w:r>
        <w:t xml:space="preserve"> </w:t>
      </w:r>
      <w:r>
        <w:t xml:space="preserve">representation would help — the questions a modern continuous-authentication system actually faces.</w:t>
      </w:r>
    </w:p>
    <w:p>
      <w:pPr>
        <w:pStyle w:val="Compact"/>
        <w:numPr>
          <w:ilvl w:val="0"/>
          <w:numId w:val="1006"/>
        </w:numPr>
      </w:pPr>
      <w:r>
        <w:rPr>
          <w:b/>
          <w:bCs/>
        </w:rPr>
        <w:t xml:space="preserve">The deep state of the art, TypeNet (Acien et al., 2021).</w:t>
      </w:r>
      <w:r>
        <w:t xml:space="preserve"> </w:t>
      </w:r>
      <w:r>
        <w:t xml:space="preserve">A Siamese LSTM trained on 136M+ keystrokes from about 168,000 people, reaching EER 2.2% on a physical keyboard and 9.2% on a touchscreen, and scaling to 100,000 users — showing that learned, content-independent keystroke embeddings work at internet scale. Its strength is also its limit for a project like mine: that 2.2% leans on web-scale data, and the paper doesn't test whether the same approach still helps in the small-data, single-password regime where most reproducible benchmarking actually happens.</w:t>
      </w:r>
    </w:p>
    <w:p>
      <w:pPr>
        <w:pStyle w:val="FirstParagraph"/>
      </w:pPr>
      <w:r>
        <w:t xml:space="preserve">So the two reference points don't really disagree; they never meet. One owns small fixed-text data and hand-built statistics, the other owns web-scale free text and a learned model, and neither asks what happens when you bring a deep representation</w:t>
      </w:r>
      <w:r>
        <w:t xml:space="preserve"> </w:t>
      </w:r>
      <w:r>
        <w:rPr>
          <w:i/>
          <w:iCs/>
        </w:rPr>
        <w:t xml:space="preserve">down</w:t>
      </w:r>
      <w:r>
        <w:t xml:space="preserve"> </w:t>
      </w:r>
      <w:r>
        <w:t xml:space="preserve">to the small benchmark. That gap is where a student-scale project can contribute: on the small, public, reproducible CMU benchmark, does a deep embedding</w:t>
      </w:r>
      <w:r>
        <w:t xml:space="preserve"> </w:t>
      </w:r>
      <w:r>
        <w:rPr>
          <w:i/>
          <w:iCs/>
        </w:rPr>
        <w:t xml:space="preserve">plus</w:t>
      </w:r>
      <w:r>
        <w:t xml:space="preserve"> </w:t>
      </w:r>
      <w:r>
        <w:t xml:space="preserve">a classical verifier do better than the classical verifier on its own, tested honestly on people it never trained on? That is the falsifiable question. The contribution isn't a new record but a careful, reproducible, honest measurement of a hybrid design, with the failure modes written down rather than swept aside.</w:t>
      </w:r>
    </w:p>
    <w:bookmarkEnd w:id="22"/>
    <w:bookmarkEnd w:id="23"/>
    <w:bookmarkStart w:id="31" w:name="Xeae2dc85413e447d2c08d145b986cffc1f454f7"/>
    <w:p>
      <w:pPr>
        <w:pStyle w:val="Heading1"/>
      </w:pPr>
      <w:r>
        <w:t xml:space="preserve">3. Method</w:t>
      </w:r>
    </w:p>
    <w:p>
      <w:pPr>
        <w:pStyle w:val="FirstParagraph"/>
      </w:pPr>
      <w:r>
        <w:t xml:space="preserve">This is the build, in enough detail to reproduce. The pipeline is short: one keystroke window in, one 128-number vector out, a decision off the back of that.</w:t>
      </w:r>
    </w:p>
    <w:bookmarkStart w:id="24" w:name="Xfa7360ee2fb3fd168a401880b7dd367ea6c0dec"/>
    <w:p>
      <w:pPr>
        <w:pStyle w:val="Heading2"/>
      </w:pPr>
      <w:r>
        <w:t xml:space="preserve">3.1 Dataset</w:t>
      </w:r>
    </w:p>
    <w:p>
      <w:pPr>
        <w:pStyle w:val="FirstParagraph"/>
      </w:pPr>
      <w:r>
        <w:t xml:space="preserve">The CMU file holds, for 51 people × 400 reps, the timing of typing</w:t>
      </w:r>
      <w:r>
        <w:t xml:space="preserve"> </w:t>
      </w:r>
      <w:r>
        <w:rPr>
          <w:rStyle w:val="VerbatimChar"/>
        </w:rPr>
        <w:t xml:space="preserve">.tie5Roanl</w:t>
      </w:r>
      <w:r>
        <w:t xml:space="preserve"> </w:t>
      </w:r>
      <w:r>
        <w:t xml:space="preserve">then Return. That is 11 keys, giving 31 timing columns per row and 20,400 rows. I checked it structurally and pinned it by SHA-256, so any run provably uses the same bytes. One detail mattered more than it looks. The real file names its columns by key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not by printable character, so a loader expecting</w:t>
      </w:r>
      <w:r>
        <w:t xml:space="preserve"> </w:t>
      </w:r>
      <w:r>
        <w:rPr>
          <w:rStyle w:val="VerbatimChar"/>
        </w:rPr>
        <w:t xml:space="preserve">H..</w:t>
      </w:r>
      <w:r>
        <w:t xml:space="preserve">,</w:t>
      </w:r>
      <w:r>
        <w:t xml:space="preserve"> </w:t>
      </w:r>
      <w:r>
        <w:rPr>
          <w:rStyle w:val="VerbatimChar"/>
        </w:rPr>
        <w:t xml:space="preserve">H.R</w:t>
      </w:r>
      <w:r>
        <w:t xml:space="preserve">,</w:t>
      </w:r>
      <w:r>
        <w:t xml:space="preserve"> </w:t>
      </w:r>
      <w:r>
        <w:rPr>
          <w:rStyle w:val="VerbatimChar"/>
        </w:rPr>
        <w:t xml:space="preserve">H.\n</w:t>
      </w:r>
      <w:r>
        <w:t xml:space="preserve"> </w:t>
      </w:r>
      <w:r>
        <w:t xml:space="preserve">would quietly read all-zero timings and train on nothing while still printing a believable number. I wrote a column remap, plus an assertion that the first window is exactly 11 keys spelling</w:t>
      </w:r>
      <w:r>
        <w:t xml:space="preserve"> </w:t>
      </w:r>
      <w:r>
        <w:rPr>
          <w:rStyle w:val="VerbatimChar"/>
        </w:rPr>
        <w:t xml:space="preserve">.tie5Roanl</w:t>
      </w:r>
      <w:r>
        <w:t xml:space="preserve"> </w:t>
      </w:r>
      <w:r>
        <w:t xml:space="preserve">with non-zero timings (§7.3).</w:t>
      </w:r>
    </w:p>
    <w:bookmarkEnd w:id="24"/>
    <w:bookmarkStart w:id="25" w:name="Xdb339918d42361792fb7a67269483bd1e0b7fae"/>
    <w:p>
      <w:pPr>
        <w:pStyle w:val="Heading2"/>
      </w:pPr>
      <w:r>
        <w:t xml:space="preserve">3.2 Feature representation</w:t>
      </w:r>
    </w:p>
    <w:p>
      <w:pPr>
        <w:pStyle w:val="FirstParagraph"/>
      </w:pPr>
      <w:r>
        <w:t xml:space="preserve">Each keystroke becomes a small vector: four timing features (hold, down-down, flight, up-up) plus a learned embedding of which key it was. Timings are measured relative to the window's first keystroke, so the absolute clock value drops out while the precision is kept. The network sees which keys were pressed and their rhythm, never what the text means. That makes the representation content-independent, and lets it carry, in principle, from the fixed CMU password to free typing (the basis of Phase 2). The same featurization code runs in training and serving, so the served model can't see different features from the trained one.</w:t>
      </w:r>
    </w:p>
    <w:bookmarkEnd w:id="25"/>
    <w:bookmarkStart w:id="26" w:name="X6151245b2fb6df9df36017325170c87b9088f99"/>
    <w:p>
      <w:pPr>
        <w:pStyle w:val="Heading2"/>
      </w:pPr>
      <w:r>
        <w:t xml:space="preserve">3.3 The encoder</w:t>
      </w:r>
    </w:p>
    <w:p>
      <w:pPr>
        <w:pStyle w:val="FirstParagraph"/>
      </w:pPr>
      <w:r>
        <w:t xml:space="preserve">The encoder (</w:t>
      </w:r>
      <w:r>
        <w:rPr>
          <w:rStyle w:val="VerbatimChar"/>
        </w:rPr>
        <w:t xml:space="preserve">KeystrokeEncoder</w:t>
      </w:r>
      <w:r>
        <w:t xml:space="preserve">) turns a window into a 128-D L2-normalised vector in four stages:</w:t>
      </w:r>
    </w:p>
    <w:p>
      <w:pPr>
        <w:pStyle w:val="Compact"/>
        <w:numPr>
          <w:ilvl w:val="0"/>
          <w:numId w:val="1007"/>
        </w:numPr>
      </w:pPr>
      <w:r>
        <w:rPr>
          <w:b/>
          <w:bCs/>
        </w:rPr>
        <w:t xml:space="preserve">Input fusion</w:t>
      </w:r>
      <w:r>
        <w:t xml:space="preserve"> </w:t>
      </w:r>
      <w:r>
        <w:t xml:space="preserve">— each keystroke's four timing features join a 16-D learned character embedding, making a 20-D per-keystroke vector. The character embedding lets the network learn keyboard geography rather than being told it.</w:t>
      </w:r>
    </w:p>
    <w:p>
      <w:pPr>
        <w:pStyle w:val="Compact"/>
        <w:numPr>
          <w:ilvl w:val="0"/>
          <w:numId w:val="1007"/>
        </w:numPr>
      </w:pPr>
      <w:r>
        <w:rPr>
          <w:b/>
          <w:bCs/>
        </w:rPr>
        <w:t xml:space="preserve">1-D convolutions</w:t>
      </w:r>
      <w:r>
        <w:t xml:space="preserve"> </w:t>
      </w:r>
      <w:r>
        <w:t xml:space="preserve">— two</w:t>
      </w:r>
      <w:r>
        <w:t xml:space="preserve"> </w:t>
      </w:r>
      <w:r>
        <w:rPr>
          <w:rStyle w:val="VerbatimChar"/>
        </w:rPr>
        <w:t xml:space="preserve">Conv1d</w:t>
      </w:r>
      <w:r>
        <w:t xml:space="preserve"> </w:t>
      </w:r>
      <w:r>
        <w:t xml:space="preserve">layers (20→64→64, kernel 3) pick up local rhythm, the timing of adjacent key-pairs, or digraphs.</w:t>
      </w:r>
    </w:p>
    <w:p>
      <w:pPr>
        <w:pStyle w:val="Compact"/>
        <w:numPr>
          <w:ilvl w:val="0"/>
          <w:numId w:val="1007"/>
        </w:numPr>
      </w:pPr>
      <w:r>
        <w:rPr>
          <w:b/>
          <w:bCs/>
        </w:rPr>
        <w:t xml:space="preserve">Bidirectional GRU</w:t>
      </w:r>
      <w:r>
        <w:t xml:space="preserve"> </w:t>
      </w:r>
      <w:r>
        <w:t xml:space="preserve">— a recurrent layer (GRU: Cho et al., 2014; 64 units each way → 128) reads the sequence in both directions, catching longer-range cadence.</w:t>
      </w:r>
    </w:p>
    <w:p>
      <w:pPr>
        <w:pStyle w:val="Compact"/>
        <w:numPr>
          <w:ilvl w:val="0"/>
          <w:numId w:val="1007"/>
        </w:numPr>
      </w:pPr>
      <w:r>
        <w:rPr>
          <w:b/>
          <w:bCs/>
        </w:rPr>
        <w:t xml:space="preserve">Attention pooling → projection → L2-norm</w:t>
      </w:r>
      <w:r>
        <w:t xml:space="preserve"> </w:t>
      </w:r>
      <w:r>
        <w:t xml:space="preserve">— a single-head additive attention layer (additive attention: Bahdanau et al., 2015; a learned linear score per time step, soft-maxed over the valid keystrokes with a length mask) weights the time steps so the network learns which keystrokes matter; a linear layer projects to 128-D, and L2-normalisation puts the vector on the unit sphere.</w:t>
      </w:r>
    </w:p>
    <w:p>
      <w:pPr>
        <w:pStyle w:val="FirstParagraph"/>
      </w:pPr>
      <w:r>
        <w:t xml:space="preserve">I chose CNN + BiGRU + attention over a Transformer deliberately, and I tested that choice rather than just asserting it. The open-set split trains on 35 people, about 14,000 windows (35 × 400 reps) of one 11-key password — the kind of small, low-diversity data on which self-attention tends to overfit. To check, I built a comparable Transformer encoder (2 layers, 4 heads, 77,296 parameters — in fact a touch</w:t>
      </w:r>
      <w:r>
        <w:t xml:space="preserve"> </w:t>
      </w:r>
      <w:r>
        <w:rPr>
          <w:i/>
          <w:iCs/>
        </w:rPr>
        <w:t xml:space="preserve">smaller</w:t>
      </w:r>
      <w:r>
        <w:t xml:space="preserve"> </w:t>
      </w:r>
      <w:r>
        <w:t xml:space="preserve">than this network, which corrects my first guess that a Transformer would be several times larger) and ran it through the identical open-set protocol over the same three seeds. It came out worse and far less stable: primary EER 19.8% ± 5.4%, ensemble 12.3% ± 4.9%, against this model's 14.2% ± 2.8% and 10.2% ± 1.0%. Both models' training loss saturates at the margin (§4.6), so both are data-limited — but the CNN+BiGRU's built-in locality and sequence priors pull a steadier signal from so little data than self-attention can. So the choice holds up empirically, though the honest reason is inductive bias at this scale, not the parameter count I first reached for. This network has 83,505 parameters (0.32 MB as float32) — trainable to roughly 10% open-set EER on a laptop CPU in minutes — and embeds one window in about 0.8 ms (mean of 200 runs, batch of one), so a verification is comfortably real-time.</w:t>
      </w:r>
    </w:p>
    <w:bookmarkEnd w:id="26"/>
    <w:bookmarkStart w:id="27" w:name="X12b55cf281cc5a5a3b6d8f14ec20fafee7a3317"/>
    <w:p>
      <w:pPr>
        <w:pStyle w:val="Heading2"/>
      </w:pPr>
      <w:r>
        <w:t xml:space="preserve">3.4 Training</w:t>
      </w:r>
    </w:p>
    <w:p>
      <w:pPr>
        <w:pStyle w:val="FirstParagraph"/>
      </w:pPr>
      <w:r>
        <w:t xml:space="preserve">I train with batch-hard triplet loss (margin 0.2) plus a small center-loss term (weight 0.01), using Adam (Kingma &amp; Ba, 2015) at a 1e-3 learning rate for 60 epochs. Each mini-batch is built from 16 people with 2 windows each (a batch of 32); distances are squared-Euclidean on the L2-normalised embeddings, and batch-hard mining picks, for each anchor, the hardest positive (the farthest same-person window in the batch) and the hardest negative (the closest different-person one). Training is deterministic (global seed, single-process loader), so the same seed reproduces the same weights bit-for-bit on CPU. A test checks that same-person embeddings end up closer than different-person ones (O2), guarding against a collapsed encoder.</w:t>
      </w:r>
    </w:p>
    <w:bookmarkEnd w:id="27"/>
    <w:bookmarkStart w:id="28" w:name="X4568b827d7a647292dc10f8eba7996e80c362ee"/>
    <w:p>
      <w:pPr>
        <w:pStyle w:val="Heading2"/>
      </w:pPr>
      <w:r>
        <w:t xml:space="preserve">3.5 The verification ensemble</w:t>
      </w:r>
    </w:p>
    <w:p>
      <w:pPr>
        <w:pStyle w:val="FirstParagraph"/>
      </w:pPr>
      <w:r>
        <w:t xml:space="preserve">After training, a user is enrolled rather than retrained. I embed about a dozen of their windows into a profile: the centroid, the enrolment embeddings themselves (for nearest-neighbour), and the Ledoit–Wolf inverse-covariance matrix. A new window is scored by three distances to that profile, fused into one number as their plain unweighted mean: (i) the per-dimension L1 distance to the centroid, (ii) the mean L1 distance to the three nearest enrolment embeddings, and (iii) the Ledoit–Wolf Mahalanobis distance. If the shrinkage covariance ever comes out singular, the Mahalanobis term falls back to the centroid distance, so a verification degrades rather than crashes. Lower means more genuine. A per-user threshold then turns that score into a confidence and a risk level: each enrolment embedding is scored against the centroid of the</w:t>
      </w:r>
      <w:r>
        <w:t xml:space="preserve"> </w:t>
      </w:r>
      <w:r>
        <w:rPr>
          <w:i/>
          <w:iCs/>
        </w:rPr>
        <w:t xml:space="preserve">others</w:t>
      </w:r>
      <w:r>
        <w:t xml:space="preserve"> </w:t>
      </w:r>
      <w:r>
        <w:t xml:space="preserve">(leave-one-out, so a window is never compared with itself), and the threshold is the 90th percentile of those genuine distances times a 1.15 cushion, floored at a small positive value so a perfectly consistent typist can't drive it to zero (the bug behind §7.5). These statistics run inside the</w:t>
      </w:r>
      <w:r>
        <w:t xml:space="preserve"> </w:t>
      </w:r>
      <w:r>
        <w:rPr>
          <w:i/>
          <w:iCs/>
        </w:rPr>
        <w:t xml:space="preserve">learned</w:t>
      </w:r>
      <w:r>
        <w:t xml:space="preserve"> </w:t>
      </w:r>
      <w:r>
        <w:t xml:space="preserve">128-D space, not on raw timings, and the same fusion code runs in research and the live service, so the EER I measured and the decision I ship are the same maths. (The headline scaled-Manhattan metric of §2.3 stays separate from this ensemble; it is the like-for-like comparator against the published baseline, not part of the fused score.) One caveat worth stating up front: because the three terms are fused unweighted, the Mahalanobis distance, which is numerically much larger in 128 dimensions, dominates the mean — a component ablation (§4.7) shows it carries essentially all of the ensemble's advantage.</w:t>
      </w:r>
    </w:p>
    <w:bookmarkEnd w:id="28"/>
    <w:bookmarkStart w:id="29" w:name="Xb660feb395ff3c8653228c4245792ec263b9ca8"/>
    <w:p>
      <w:pPr>
        <w:pStyle w:val="Heading2"/>
      </w:pPr>
      <w:r>
        <w:t xml:space="preserve">3.6 Evaluation protocol</w:t>
      </w:r>
    </w:p>
    <w:p>
      <w:pPr>
        <w:pStyle w:val="FirstParagraph"/>
      </w:pPr>
      <w:r>
        <w:t xml:space="preserve">This is where the project's credibility lives or dies.</w:t>
      </w:r>
    </w:p>
    <w:p>
      <w:pPr>
        <w:pStyle w:val="BodyText"/>
      </w:pPr>
      <w:r>
        <w:rPr>
          <w:b/>
          <w:bCs/>
        </w:rPr>
        <w:t xml:space="preserve">Open-set, held-out people.</w:t>
      </w:r>
      <w:r>
        <w:t xml:space="preserve"> </w:t>
      </w:r>
      <w:r>
        <w:t xml:space="preserve">I split the 51 people (seeded) into 35 for training and 16 held out. The encoder trains only on the 35, and the EER is measured only on the 16 it has never seen, so the result measures generalisation to new people — the only thing that matters for authentication. A runtime check guarantees no test person leaks into training. This replaces an earlier closed-set mistake that would have produced a much lower but meaningless number (§7.1).</w:t>
      </w:r>
    </w:p>
    <w:p>
      <w:pPr>
        <w:pStyle w:val="BodyText"/>
      </w:pPr>
      <w:r>
        <w:rPr>
          <w:b/>
          <w:bCs/>
        </w:rPr>
        <w:t xml:space="preserve">Genuine versus impostor, within each test person.</w:t>
      </w:r>
      <w:r>
        <w:t xml:space="preserve"> </w:t>
      </w:r>
      <w:r>
        <w:t xml:space="preserve">For each test person I split their windows into an enrolment half and a test half. Genuine windows score against the profile built from the enrolment half (so a window is never scored against itself); impostor windows are the other test people's. If a person has too few windows to hold a test set out, the evaluator raises rather than invent a number — a guard added after an earlier version scored training data and produced a fake 0.0 EER (§7.4).</w:t>
      </w:r>
    </w:p>
    <w:p>
      <w:pPr>
        <w:pStyle w:val="BodyText"/>
      </w:pPr>
      <w:r>
        <w:rPr>
          <w:b/>
          <w:bCs/>
        </w:rPr>
        <w:t xml:space="preserve">Two metrics, labelled honestly.</w:t>
      </w:r>
      <w:r>
        <w:t xml:space="preserve"> </w:t>
      </w:r>
      <w:r>
        <w:t xml:space="preserve">Scaled-Manhattan EER is the headline, the exact metric of the 9.6% baseline; the full-ensemble EER is secondary. I never compare the ensemble against a scaled-Manhattan baseline, which would tilt the comparison in my favour.</w:t>
      </w:r>
    </w:p>
    <w:p>
      <w:pPr>
        <w:pStyle w:val="BodyText"/>
      </w:pPr>
      <w:r>
        <w:rPr>
          <w:b/>
          <w:bCs/>
        </w:rPr>
        <w:t xml:space="preserve">Three seeds.</w:t>
      </w:r>
      <w:r>
        <w:t xml:space="preserve"> </w:t>
      </w:r>
      <w:r>
        <w:t xml:space="preserve">Because the split and the training are both random, I run seeds 42/43/44 and report mean ± SD, so a near-baseline result can't be waved away as noise.</w:t>
      </w:r>
    </w:p>
    <w:p>
      <w:pPr>
        <w:pStyle w:val="BodyText"/>
      </w:pPr>
      <w:r>
        <w:rPr>
          <w:b/>
          <w:bCs/>
        </w:rPr>
        <w:t xml:space="preserve">Hyperparameters by nested validation.</w:t>
      </w:r>
      <w:r>
        <w:t xml:space="preserve"> </w:t>
      </w:r>
      <w:r>
        <w:t xml:space="preserve">Try many settings and keep the best on the test set, and you've quietly turned the test set into a training signal. So I set the 16 test people aside first, then inside the 35 training people carved a further 24 inner-train / 11 validation split, judging every setting only on the validation people; the validation winner ran once on the 16. Because nothing was chosen using the test set, the final EER stays an honest open-set estimate (the ablation in §4.6).</w:t>
      </w:r>
    </w:p>
    <w:bookmarkEnd w:id="29"/>
    <w:bookmarkStart w:id="30" w:name="X180ce69f00142d0167a8cda361778d6a755fd36"/>
    <w:p>
      <w:pPr>
        <w:pStyle w:val="Heading2"/>
      </w:pPr>
      <w:r>
        <w:t xml:space="preserve">3.7 The product layer</w:t>
      </w:r>
    </w:p>
    <w:p>
      <w:pPr>
        <w:pStyle w:val="FirstParagraph"/>
      </w:pPr>
      <w:r>
        <w:t xml:space="preserve">To show the model is more than a benchmark number, I wired a standalone slice (</w:t>
      </w:r>
      <w:r>
        <w:rPr>
          <w:rStyle w:val="VerbatimChar"/>
        </w:rPr>
        <w:t xml:space="preserve">/api/ml-keystroke/*</w:t>
      </w:r>
      <w:r>
        <w:t xml:space="preserve">) into the product backend. A user consents, enrols by typing several windows (which become a profile), and is verified on a new window. The decision is fail-safe: if the service is unreachable, or the model version doesn't match the profile, the result is INDETERMINATE and the product asks for another factor, never granting access by default. The slice is kept separate from the older statistical engine, and its safety behaviour is tested (§6, §7.5).</w:t>
      </w:r>
    </w:p>
    <w:bookmarkEnd w:id="30"/>
    <w:bookmarkEnd w:id="31"/>
    <w:bookmarkStart w:id="39" w:name="X121719332867ee227f0a04b486098cee978c6e6"/>
    <w:p>
      <w:pPr>
        <w:pStyle w:val="Heading1"/>
      </w:pPr>
      <w:r>
        <w:t xml:space="preserve">4. Results</w:t>
      </w:r>
    </w:p>
    <w:p>
      <w:pPr>
        <w:pStyle w:val="FirstParagraph"/>
      </w:pPr>
      <w:r>
        <w:t xml:space="preserve">Everything below was trained on real CMU data on a laptop CPU (no GPU), averaged over three seeds (42, 43, 44), and is reproducible from a pinned dataset and fixed seeds (App. B). The full run took about 23 minutes and cost £0.</w:t>
      </w:r>
    </w:p>
    <w:bookmarkStart w:id="32" w:name="Xb896a7865e886a6b97659f823a619ca0ea0a977"/>
    <w:p>
      <w:pPr>
        <w:pStyle w:val="Heading2"/>
      </w:pPr>
      <w:r>
        <w:t xml:space="preserve">4.1 Headline result</w:t>
      </w:r>
    </w:p>
    <w:p>
      <w:pPr>
        <w:pStyle w:val="FirstParagraph"/>
      </w:pPr>
      <w:r>
        <w:t xml:space="preserve">Open-set EER on the 16 held-out people (mean ± SD over 3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Scorer</w:t>
            </w:r>
          </w:p>
        </w:tc>
        <w:tc>
          <w:tcPr/>
          <w:p>
            <w:pPr>
              <w:pStyle w:val="Compact"/>
            </w:pPr>
            <w:r>
              <w:t xml:space="preserve">EER (mean)</w:t>
            </w:r>
          </w:p>
        </w:tc>
        <w:tc>
          <w:tcPr/>
          <w:p>
            <w:pPr>
              <w:pStyle w:val="Compact"/>
            </w:pPr>
            <w:r>
              <w:t xml:space="preserve">SD</w:t>
            </w:r>
          </w:p>
        </w:tc>
        <w:tc>
          <w:tcPr/>
          <w:p>
            <w:pPr>
              <w:pStyle w:val="Compact"/>
            </w:pPr>
            <w:r>
              <w:t xml:space="preserve">Per-seed</w:t>
            </w:r>
          </w:p>
        </w:tc>
        <w:tc>
          <w:tcPr/>
          <w:p>
            <w:pPr>
              <w:pStyle w:val="Compact"/>
            </w:pPr>
            <w:r>
              <w:t xml:space="preserve">Comparison</w:t>
            </w:r>
          </w:p>
        </w:tc>
      </w:tr>
      <w:tr>
        <w:tc>
          <w:tcPr/>
          <w:p>
            <w:pPr>
              <w:pStyle w:val="Compact"/>
            </w:pPr>
            <w:r>
              <w:t xml:space="preserve">Scaled-Manhattan (headline; comparable to baseline)</w:t>
            </w:r>
          </w:p>
        </w:tc>
        <w:tc>
          <w:tcPr/>
          <w:p>
            <w:pPr>
              <w:pStyle w:val="Compact"/>
            </w:pPr>
            <w:r>
              <w:t xml:space="preserve">0.1422 (14.2%)</w:t>
            </w:r>
          </w:p>
        </w:tc>
        <w:tc>
          <w:tcPr/>
          <w:p>
            <w:pPr>
              <w:pStyle w:val="Compact"/>
            </w:pPr>
            <w:r>
              <w:t xml:space="preserve">± 0.0279</w:t>
            </w:r>
          </w:p>
        </w:tc>
        <w:tc>
          <w:tcPr/>
          <w:p>
            <w:pPr>
              <w:pStyle w:val="Compact"/>
            </w:pPr>
            <w:r>
              <w:t xml:space="preserve">0.1421 / 0.1764 / 0.1080</w:t>
            </w:r>
          </w:p>
        </w:tc>
        <w:tc>
          <w:tcPr/>
          <w:p>
            <w:pPr>
              <w:pStyle w:val="Compact"/>
            </w:pPr>
            <w:r>
              <w:t xml:space="preserve">vs published 0.0962 (9.6%)</w:t>
            </w:r>
          </w:p>
        </w:tc>
      </w:tr>
      <w:tr>
        <w:tc>
          <w:tcPr/>
          <w:p>
            <w:pPr>
              <w:pStyle w:val="Compact"/>
            </w:pPr>
            <w:r>
              <w:t xml:space="preserve">Full ensemble (secondary; centroid-L1 + NN + Mahalanobis)</w:t>
            </w:r>
          </w:p>
        </w:tc>
        <w:tc>
          <w:tcPr/>
          <w:p>
            <w:pPr>
              <w:pStyle w:val="Compact"/>
            </w:pPr>
            <w:r>
              <w:t xml:space="preserve">0.1016 (10.2%)</w:t>
            </w:r>
          </w:p>
        </w:tc>
        <w:tc>
          <w:tcPr/>
          <w:p>
            <w:pPr>
              <w:pStyle w:val="Compact"/>
            </w:pPr>
            <w:r>
              <w:t xml:space="preserve">± 0.0097</w:t>
            </w:r>
          </w:p>
        </w:tc>
        <w:tc>
          <w:tcPr/>
          <w:p>
            <w:pPr>
              <w:pStyle w:val="Compact"/>
            </w:pPr>
            <w:r>
              <w:t xml:space="preserve">0.1086 / 0.1083 / 0.0878</w:t>
            </w:r>
          </w:p>
        </w:tc>
        <w:tc>
          <w:tcPr/>
          <w:p>
            <w:pPr>
              <w:pStyle w:val="Compact"/>
            </w:pPr>
            <w:r>
              <w:t xml:space="preserve">—</w:t>
            </w:r>
          </w:p>
        </w:tc>
      </w:tr>
      <w:tr>
        <w:tc>
          <w:tcPr/>
          <w:p>
            <w:pPr>
              <w:pStyle w:val="Compact"/>
            </w:pPr>
            <w:r>
              <w:t xml:space="preserve">Published baseline — Killourhy &amp; Maxion (2009)</w:t>
            </w:r>
          </w:p>
        </w:tc>
        <w:tc>
          <w:tcPr/>
          <w:p>
            <w:pPr>
              <w:pStyle w:val="Compact"/>
            </w:pPr>
            <w:r>
              <w:t xml:space="preserve">0.0962 (9.6%)</w:t>
            </w:r>
          </w:p>
        </w:tc>
        <w:tc>
          <w:tcPr/>
          <w:p>
            <w:pPr>
              <w:pStyle w:val="Compact"/>
            </w:pPr>
            <w:r>
              <w:t xml:space="preserve">(their SD 0.069)</w:t>
            </w:r>
          </w:p>
        </w:tc>
        <w:tc>
          <w:tcPr/>
          <w:p>
            <w:pPr>
              <w:pStyle w:val="Compact"/>
            </w:pPr>
            <w:r>
              <w:t xml:space="preserve">—</w:t>
            </w:r>
          </w:p>
        </w:tc>
        <w:tc>
          <w:tcPr/>
          <w:p>
            <w:pPr>
              <w:pStyle w:val="Compact"/>
            </w:pPr>
            <w:r>
              <w:t xml:space="preserve">reference</w:t>
            </w:r>
          </w:p>
        </w:tc>
      </w:tr>
    </w:tbl>
    <w:p>
      <w:pPr>
        <w:pStyle w:val="BodyText"/>
      </w:pPr>
      <w:r>
        <w:t xml:space="preserve">Two things jump out. First, the ensemble is more accurate and steadier than the simple scorer: its EER (10.2%) beats scaled-Manhattan (14.2%) by about four points on the same embeddings, and its seed-to-seed SD is smaller (0.97% vs 2.79%). That SD is an internal comparison between my own two scorers, not a claim against the baseline's across-subject spread (0.069). Three seeds can't settle whether the ensemble is genuinely steadier, so I re-ran the open-set pipeline over 14 seeds: it beats scaled-Manhattan on all 14 (Wilcoxon signed-rank p ≈ 0.0001), so the advantage is real, not a three-seed fluke. A component ablation (§4.7) pins down where it comes from — not the averaging, but the Ledoit–Wolf Mahalanobis distance inside the learned space. Second, the honest open-set result sits above the baseline, not below it: 14.2% and 10.2% against 9.6%. The 14-seed run is a blunter check on that headline too: across 14 seeds the mean EERs are higher than the three-seed figures (primary ≈ 18.7%, ensemble ≈ 13.3%), so seeds 42/43/44 sit on the optimistic side of the spread. They were fixed in advance, not chosen to flatter, but the fuller picture is the less flattering one, and the gap to the 9.6% baseline is wider than the headline suggests. A subject-level bootstrap (resampling the 16 held-out people, 20,000 draws) puts a 95% confidence interval of [9.5%, 19.2%] on the seed-42 14.2% — wide, because per-person EER varies so much (§4.3): the lower end touches the baseline, the upper sits well above it.</w:t>
      </w:r>
    </w:p>
    <w:bookmarkEnd w:id="32"/>
    <w:bookmarkStart w:id="33" w:name="X7c111de464f104410aaa1516c55a91ac56b274a"/>
    <w:p>
      <w:pPr>
        <w:pStyle w:val="Heading2"/>
      </w:pPr>
      <w:r>
        <w:t xml:space="preserve">4.2 The DET curve</w:t>
      </w:r>
    </w:p>
    <w:p>
      <w:pPr>
        <w:pStyle w:val="FirstParagraph"/>
      </w:pPr>
      <w:r>
        <w:t xml:space="preserve">The DET curve (Fig B.1) plots FRR against FAR across all thresholds for the headline scaled-Manhattan scorer; the EER point sits on the FAR = FRR diagonal at 14.2%, with the 9.6% baseline marked. It shows the security-versus-convenience trade-off directly (full curve and caption in App. B).</w:t>
      </w:r>
    </w:p>
    <w:bookmarkEnd w:id="33"/>
    <w:bookmarkStart w:id="34" w:name="Xbf6fd81e95cc4185974b24ec5b07e4a156fb590"/>
    <w:p>
      <w:pPr>
        <w:pStyle w:val="Heading2"/>
      </w:pPr>
      <w:r>
        <w:t xml:space="preserve">4.3 Per-subject analysis</w:t>
      </w:r>
    </w:p>
    <w:p>
      <w:pPr>
        <w:pStyle w:val="FirstParagraph"/>
      </w:pPr>
      <w:r>
        <w:t xml:space="preserve">The 16 held-out people vary a lot in how recognisable they are (full table in Appendix B):</w:t>
      </w:r>
    </w:p>
    <w:p>
      <w:pPr>
        <w:pStyle w:val="Compact"/>
        <w:numPr>
          <w:ilvl w:val="0"/>
          <w:numId w:val="1008"/>
        </w:numPr>
      </w:pPr>
      <w:r>
        <w:rPr>
          <w:b/>
          <w:bCs/>
        </w:rPr>
        <w:t xml:space="preserve">Most distinctive</w:t>
      </w:r>
      <w:r>
        <w:t xml:space="preserve"> </w:t>
      </w:r>
      <w:r>
        <w:t xml:space="preserve">(lowest EER): s036 at 0.9%, s017 at 2.0%, s022 at 3.5% — essentially strong authenticators on their own.</w:t>
      </w:r>
    </w:p>
    <w:p>
      <w:pPr>
        <w:pStyle w:val="Compact"/>
        <w:numPr>
          <w:ilvl w:val="0"/>
          <w:numId w:val="1008"/>
        </w:numPr>
      </w:pPr>
      <w:r>
        <w:rPr>
          <w:b/>
          <w:bCs/>
        </w:rPr>
        <w:t xml:space="preserve">Hardest</w:t>
      </w:r>
      <w:r>
        <w:t xml:space="preserve"> </w:t>
      </w:r>
      <w:r>
        <w:t xml:space="preserve">(highest EER): s047 at 33.5%, s007 at 29.5%, s037 at 23.4% — for them the 11-key password is too short and inconsistent to tell them apart reliably.</w:t>
      </w:r>
    </w:p>
    <w:p>
      <w:pPr>
        <w:pStyle w:val="FirstParagraph"/>
      </w:pPr>
      <w:r>
        <w:t xml:space="preserve">The spread itself is informative, and it isn't random. For each held-out person I compared their within-person embedding scatter against the distance to the nearest other typist; that separability ratio (nearest-impostor distance ÷ own scatter) tracks per-subject EER closely (Spearman ρ = −0.84, p = 0.0001). The distinctive authenticators (s036, s017) sit far from everyone relative to their own consistency; the hardest (s047, s007) type inconsistently enough that their rhythm collides with other people's in the embedding. So the limiting factor isn't the model but the information in an 11-key fixed password, which for some people is simply too little to separate them — a signal-to-noise problem that a longer, richer sample (free text, §9) should ease for exactly these users.</w:t>
      </w:r>
    </w:p>
    <w:bookmarkEnd w:id="34"/>
    <w:bookmarkStart w:id="35" w:name="X3189c8bc3ba69734614d88a88e25dda9fe0fe09"/>
    <w:p>
      <w:pPr>
        <w:pStyle w:val="Heading2"/>
      </w:pPr>
      <w:r>
        <w:t xml:space="preserve">4.4 The embedding space (t-SNE)</w:t>
      </w:r>
    </w:p>
    <w:p>
      <w:pPr>
        <w:pStyle w:val="FirstParagraph"/>
      </w:pPr>
      <w:r>
        <w:t xml:space="preserve">To check</w:t>
      </w:r>
      <w:r>
        <w:t xml:space="preserve"> </w:t>
      </w:r>
      <w:r>
        <w:rPr>
          <w:i/>
          <w:iCs/>
        </w:rPr>
        <w:t xml:space="preserve">why</w:t>
      </w:r>
      <w:r>
        <w:t xml:space="preserve"> </w:t>
      </w:r>
      <w:r>
        <w:t xml:space="preserve">it works, I projected the held-out 128-D embeddings down to 2-D with t-SNE (van der Maaten &amp; Hinton, 2008) (Fig B.2). Several people form tight, well-separated clusters, which confirms the encoder maps a person's typing to a consistent region even though it never trained on them. A denser middle region of overlap lines up with the high-EER people from §4.3, so the picture and the numbers agree.</w:t>
      </w:r>
    </w:p>
    <w:bookmarkEnd w:id="35"/>
    <w:bookmarkStart w:id="36" w:name="X14f2364ccff9bf7aafbd1738a04403050802ed3"/>
    <w:p>
      <w:pPr>
        <w:pStyle w:val="Heading2"/>
      </w:pPr>
      <w:r>
        <w:t xml:space="preserve">4.5 End-to-end on a live user</w:t>
      </w:r>
    </w:p>
    <w:p>
      <w:pPr>
        <w:pStyle w:val="FirstParagraph"/>
      </w:pPr>
      <w:r>
        <w:t xml:space="preserve">Beyond the benchmark, I served the trained model and ran the real flow. A held-out person was enrolled, then genuine and impostor windows were verified over HTTP. The mean genuine score (3.10) came out clearly lower, meaning more genuine, than the mean impostor score (6.73). So the deployed model ranks impostors as less genuine than the real user, behaving the same live as in the notebook. This is a single-user</w:t>
      </w:r>
      <w:r>
        <w:t xml:space="preserve"> </w:t>
      </w:r>
      <w:r>
        <w:rPr>
          <w:b/>
          <w:bCs/>
        </w:rPr>
        <w:t xml:space="preserve">smoke test</w:t>
      </w:r>
      <w:r>
        <w:t xml:space="preserve">, not a result: it shows the wiring works end to end and the maths matches the offline run, not that the system performs well on a population of real users. The headline EER (§4.1) remains the evidence of performance; a real user study, with the §8 consent flow, is future work (§9). The smoke test also turned up a real crash (§7.5).</w:t>
      </w:r>
    </w:p>
    <w:bookmarkEnd w:id="36"/>
    <w:bookmarkStart w:id="37" w:name="X7345df526ca4787da81e95a63f9ea4fdf415668"/>
    <w:p>
      <w:pPr>
        <w:pStyle w:val="Heading2"/>
      </w:pPr>
      <w:r>
        <w:t xml:space="preserve">4.6 Was the headline setting well-chosen, or just lucky? An ablation</w:t>
      </w:r>
    </w:p>
    <w:p>
      <w:pPr>
        <w:pStyle w:val="FirstParagraph"/>
      </w:pPr>
      <w:r>
        <w:t xml:space="preserve">A fair criticism is that I might just have picked good settings by luck. To answer it without touching the test set, I ran the nested-validation ablation from §3.6: the 16 test people stayed untouched while, inside the 35 training people, a 24/11 inner-train/validation split judged one changed setting at a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(change from the original)</w:t>
            </w:r>
          </w:p>
        </w:tc>
        <w:tc>
          <w:tcPr/>
          <w:p>
            <w:pPr>
              <w:pStyle w:val="Compact"/>
            </w:pPr>
            <w:r>
              <w:t xml:space="preserve">Validation primary EER</w:t>
            </w:r>
          </w:p>
        </w:tc>
        <w:tc>
          <w:tcPr/>
          <w:p>
            <w:pPr>
              <w:pStyle w:val="Compact"/>
            </w:pPr>
            <w:r>
              <w:t xml:space="preserve">Validation ensemble EER</w:t>
            </w:r>
          </w:p>
        </w:tc>
        <w:tc>
          <w:tcPr/>
          <w:p>
            <w:pPr>
              <w:pStyle w:val="Compact"/>
            </w:pPr>
            <w:r>
              <w:t xml:space="preserve">Final loss</w:t>
            </w:r>
          </w:p>
        </w:tc>
      </w:tr>
      <w:tr>
        <w:tc>
          <w:tcPr/>
          <w:p>
            <w:pPr>
              <w:pStyle w:val="Compact"/>
            </w:pPr>
            <w:r>
              <w:t xml:space="preserve">Original (60 epochs, margin 0.2, centre-weight 0.01, 2 windows/subject)</w:t>
            </w:r>
          </w:p>
        </w:tc>
        <w:tc>
          <w:tcPr/>
          <w:p>
            <w:pPr>
              <w:pStyle w:val="Compact"/>
            </w:pPr>
            <w:r>
              <w:t xml:space="preserve">0.1933</w:t>
            </w:r>
          </w:p>
        </w:tc>
        <w:tc>
          <w:tcPr/>
          <w:p>
            <w:pPr>
              <w:pStyle w:val="Compact"/>
            </w:pPr>
            <w:r>
              <w:t xml:space="preserve">0.1678</w:t>
            </w:r>
          </w:p>
        </w:tc>
        <w:tc>
          <w:tcPr/>
          <w:p>
            <w:pPr>
              <w:pStyle w:val="Compact"/>
            </w:pPr>
            <w:r>
              <w:t xml:space="preserve">0.200</w:t>
            </w:r>
          </w:p>
        </w:tc>
      </w:tr>
      <w:tr>
        <w:tc>
          <w:tcPr/>
          <w:p>
            <w:pPr>
              <w:pStyle w:val="Compact"/>
            </w:pPr>
            <w:r>
              <w:t xml:space="preserve">more windows per subject (2 → 4)</w:t>
            </w:r>
          </w:p>
        </w:tc>
        <w:tc>
          <w:tcPr/>
          <w:p>
            <w:pPr>
              <w:pStyle w:val="Compact"/>
            </w:pPr>
            <w:r>
              <w:t xml:space="preserve">0.2572</w:t>
            </w:r>
          </w:p>
        </w:tc>
        <w:tc>
          <w:tcPr/>
          <w:p>
            <w:pPr>
              <w:pStyle w:val="Compact"/>
            </w:pPr>
            <w:r>
              <w:t xml:space="preserve">0.1731</w:t>
            </w:r>
          </w:p>
        </w:tc>
        <w:tc>
          <w:tcPr/>
          <w:p>
            <w:pPr>
              <w:pStyle w:val="Compact"/>
            </w:pPr>
            <w:r>
              <w:t xml:space="preserve">0.200</w:t>
            </w:r>
          </w:p>
        </w:tc>
      </w:tr>
      <w:tr>
        <w:tc>
          <w:tcPr/>
          <w:p>
            <w:pPr>
              <w:pStyle w:val="Compact"/>
            </w:pPr>
            <w:r>
              <w:t xml:space="preserve">more windows per subject (2 → 8)</w:t>
            </w:r>
          </w:p>
        </w:tc>
        <w:tc>
          <w:tcPr/>
          <w:p>
            <w:pPr>
              <w:pStyle w:val="Compact"/>
            </w:pPr>
            <w:r>
              <w:t xml:space="preserve">0.1975</w:t>
            </w:r>
          </w:p>
        </w:tc>
        <w:tc>
          <w:tcPr/>
          <w:p>
            <w:pPr>
              <w:pStyle w:val="Compact"/>
            </w:pPr>
            <w:r>
              <w:t xml:space="preserve">0.2023</w:t>
            </w:r>
          </w:p>
        </w:tc>
        <w:tc>
          <w:tcPr/>
          <w:p>
            <w:pPr>
              <w:pStyle w:val="Compact"/>
            </w:pPr>
            <w:r>
              <w:t xml:space="preserve">0.200</w:t>
            </w:r>
          </w:p>
        </w:tc>
      </w:tr>
      <w:tr>
        <w:tc>
          <w:tcPr/>
          <w:p>
            <w:pPr>
              <w:pStyle w:val="Compact"/>
            </w:pPr>
            <w:r>
              <w:t xml:space="preserve">longer training (60 → 120 epochs)</w:t>
            </w:r>
          </w:p>
        </w:tc>
        <w:tc>
          <w:tcPr/>
          <w:p>
            <w:pPr>
              <w:pStyle w:val="Compact"/>
            </w:pPr>
            <w:r>
              <w:t xml:space="preserve">0.1904</w:t>
            </w:r>
          </w:p>
        </w:tc>
        <w:tc>
          <w:tcPr/>
          <w:p>
            <w:pPr>
              <w:pStyle w:val="Compact"/>
            </w:pPr>
            <w:r>
              <w:t xml:space="preserve">0.1684</w:t>
            </w:r>
          </w:p>
        </w:tc>
        <w:tc>
          <w:tcPr/>
          <w:p>
            <w:pPr>
              <w:pStyle w:val="Compact"/>
            </w:pPr>
            <w:r>
              <w:t xml:space="preserve">0.200</w:t>
            </w:r>
          </w:p>
        </w:tc>
      </w:tr>
      <w:tr>
        <w:tc>
          <w:tcPr/>
          <w:p>
            <w:pPr>
              <w:pStyle w:val="Compact"/>
            </w:pPr>
            <w:r>
              <w:t xml:space="preserve">wider margin (0.2 → 0.3)</w:t>
            </w:r>
          </w:p>
        </w:tc>
        <w:tc>
          <w:tcPr/>
          <w:p>
            <w:pPr>
              <w:pStyle w:val="Compact"/>
            </w:pPr>
            <w:r>
              <w:t xml:space="preserve">0.1933</w:t>
            </w:r>
          </w:p>
        </w:tc>
        <w:tc>
          <w:tcPr/>
          <w:p>
            <w:pPr>
              <w:pStyle w:val="Compact"/>
            </w:pPr>
            <w:r>
              <w:t xml:space="preserve">0.1678</w:t>
            </w:r>
          </w:p>
        </w:tc>
        <w:tc>
          <w:tcPr/>
          <w:p>
            <w:pPr>
              <w:pStyle w:val="Compact"/>
            </w:pPr>
            <w:r>
              <w:t xml:space="preserve">0.300</w:t>
            </w:r>
          </w:p>
        </w:tc>
      </w:tr>
      <w:tr>
        <w:tc>
          <w:tcPr/>
          <w:p>
            <w:pPr>
              <w:pStyle w:val="Compact"/>
            </w:pPr>
            <w:r>
              <w:t xml:space="preserve">stronger centre-loss (0.01 → 0.05)</w:t>
            </w:r>
          </w:p>
        </w:tc>
        <w:tc>
          <w:tcPr/>
          <w:p>
            <w:pPr>
              <w:pStyle w:val="Compact"/>
            </w:pPr>
            <w:r>
              <w:t xml:space="preserve">0.2054</w:t>
            </w:r>
          </w:p>
        </w:tc>
        <w:tc>
          <w:tcPr/>
          <w:p>
            <w:pPr>
              <w:pStyle w:val="Compact"/>
            </w:pPr>
            <w:r>
              <w:t xml:space="preserve">0.1725</w:t>
            </w:r>
          </w:p>
        </w:tc>
        <w:tc>
          <w:tcPr/>
          <w:p>
            <w:pPr>
              <w:pStyle w:val="Compact"/>
            </w:pPr>
            <w:r>
              <w:t xml:space="preserve">0.200</w:t>
            </w:r>
          </w:p>
        </w:tc>
      </w:tr>
    </w:tbl>
    <w:p>
      <w:pPr>
        <w:pStyle w:val="BodyText"/>
      </w:pPr>
      <w:r>
        <w:t xml:space="preserve">(The validation EERs are higher than the §4.1 test EERs because the inner-train set has only 24 people, so the encoder is weaker. These numbers are only ever compared with each other, never with the baseline, and never reported as the result.)</w:t>
      </w:r>
    </w:p>
    <w:p>
      <w:pPr>
        <w:pStyle w:val="BodyText"/>
      </w:pPr>
      <w:r>
        <w:t xml:space="preserve">Three things come out of this.</w:t>
      </w:r>
    </w:p>
    <w:p>
      <w:pPr>
        <w:numPr>
          <w:ilvl w:val="0"/>
          <w:numId w:val="1009"/>
        </w:numPr>
      </w:pPr>
      <w:r>
        <w:rPr>
          <w:b/>
          <w:bCs/>
        </w:rPr>
        <w:t xml:space="preserve">The original setting was already near-optimal.</w:t>
      </w:r>
      <w:r>
        <w:t xml:space="preserve"> </w:t>
      </w:r>
      <w:r>
        <w:t xml:space="preserve">Nothing helped meaningfully. More windows per subject made it worse, which surprised me — I'd expected harder triplet mining to help. A stronger centre-loss made it worse too, and a wider margin was identical. The only nominal gain was doubling the epochs, lowering validation EER by 0.003, well inside the noise of an 11-person fold.</w:t>
      </w:r>
    </w:p>
    <w:p>
      <w:pPr>
        <w:numPr>
          <w:ilvl w:val="0"/>
          <w:numId w:val="1009"/>
        </w:numPr>
      </w:pPr>
      <w:r>
        <w:rPr>
          <w:b/>
          <w:bCs/>
        </w:rPr>
        <w:t xml:space="preserve">That tiny "win" didn't survive the test set.</w:t>
      </w:r>
      <w:r>
        <w:t xml:space="preserve"> </w:t>
      </w:r>
      <w:r>
        <w:t xml:space="preserve">Following the protocol, I ran the validation winner (120 epochs) once on the 16 test people. It generalised</w:t>
      </w:r>
      <w:r>
        <w:t xml:space="preserve"> </w:t>
      </w:r>
      <w:r>
        <w:rPr>
          <w:i/>
          <w:iCs/>
        </w:rPr>
        <w:t xml:space="preserve">worse</w:t>
      </w:r>
      <w:r>
        <w:t xml:space="preserve">, and far less steadily: primary EER 0.161 ± 0.087 against the original's 0.142 ± 0.028, ensemble 0.113 ± 0.038 against 0.102 ± 0.010, with one seed sliding all the way to 0.284. That is what overfitting a small validation fold looks like: the 0.003 gain was noise, and acting on it would have hurt. So I kept the original, now backed by evidence.</w:t>
      </w:r>
    </w:p>
    <w:p>
      <w:pPr>
        <w:numPr>
          <w:ilvl w:val="0"/>
          <w:numId w:val="1009"/>
        </w:numPr>
      </w:pPr>
      <w:r>
        <w:rPr>
          <w:b/>
          <w:bCs/>
        </w:rPr>
        <w:t xml:space="preserve">The loss saturates at the margin</w:t>
      </w:r>
      <w:r>
        <w:t xml:space="preserve"> </w:t>
      </w:r>
      <w:r>
        <w:t xml:space="preserve">(final loss ≈ the margin in every row). The triplets are essentially all satisfied, so the bottleneck isn't optimisation but the information in an 11-key password (§4.3). The system is on a plateau: more epochs, samples or margin can't pull out a signal that isn't in the data. That's the strongest argument for free text (§9).</w:t>
      </w:r>
    </w:p>
    <w:p>
      <w:pPr>
        <w:pStyle w:val="FirstParagraph"/>
      </w:pPr>
      <w:r>
        <w:t xml:space="preserve">The value isn't a better number but a demonstration that the reported number is robust, plus an honest account of a tuning attempt that failed, written down rather than buried.</w:t>
      </w:r>
    </w:p>
    <w:bookmarkEnd w:id="37"/>
    <w:bookmarkStart w:id="38" w:name="X10204ff4d881bf5e1fd68a86df3626fc192b619"/>
    <w:p>
      <w:pPr>
        <w:pStyle w:val="Heading2"/>
      </w:pPr>
      <w:r>
        <w:t xml:space="preserve">4.7 Which distance carries the ensemble? A component ablation</w:t>
      </w:r>
    </w:p>
    <w:p>
      <w:pPr>
        <w:pStyle w:val="FirstParagraph"/>
      </w:pPr>
      <w:r>
        <w:t xml:space="preserve">The ensemble fuses three distances, so before crediting "averaging" for the gain in §4.1 I tested which term actually earns it, by dropping each in turn and re-scoring the same held-out embeddings (mean over the three seeds, same 16 people):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Ensemble variant</w:t>
            </w:r>
          </w:p>
        </w:tc>
        <w:tc>
          <w:tcPr/>
          <w:p>
            <w:pPr>
              <w:pStyle w:val="Compact"/>
            </w:pPr>
            <w:r>
              <w:t xml:space="preserve">EER (mean of 3 seeds)</w:t>
            </w:r>
          </w:p>
        </w:tc>
      </w:tr>
      <w:tr>
        <w:tc>
          <w:tcPr/>
          <w:p>
            <w:pPr>
              <w:pStyle w:val="Compact"/>
            </w:pPr>
            <w:r>
              <w:t xml:space="preserve">Full (centroid-L1 + k-NN + Mahalanobis)</w:t>
            </w:r>
          </w:p>
        </w:tc>
        <w:tc>
          <w:tcPr/>
          <w:p>
            <w:pPr>
              <w:pStyle w:val="Compact"/>
            </w:pPr>
            <w:r>
              <w:t xml:space="preserve">0.1016</w:t>
            </w:r>
          </w:p>
        </w:tc>
      </w:tr>
      <w:tr>
        <w:tc>
          <w:tcPr/>
          <w:p>
            <w:pPr>
              <w:pStyle w:val="Compact"/>
            </w:pPr>
            <w:r>
              <w:t xml:space="preserve">− drop centroid-L1 (k-NN + Mahalanobis)</w:t>
            </w:r>
          </w:p>
        </w:tc>
        <w:tc>
          <w:tcPr/>
          <w:p>
            <w:pPr>
              <w:pStyle w:val="Compact"/>
            </w:pPr>
            <w:r>
              <w:t xml:space="preserve">0.1016</w:t>
            </w:r>
          </w:p>
        </w:tc>
      </w:tr>
      <w:tr>
        <w:tc>
          <w:tcPr/>
          <w:p>
            <w:pPr>
              <w:pStyle w:val="Compact"/>
            </w:pPr>
            <w:r>
              <w:t xml:space="preserve">− drop k-NN (centroid-L1 + Mahalanobis)</w:t>
            </w:r>
          </w:p>
        </w:tc>
        <w:tc>
          <w:tcPr/>
          <w:p>
            <w:pPr>
              <w:pStyle w:val="Compact"/>
            </w:pPr>
            <w:r>
              <w:t xml:space="preserve">0.1016</w:t>
            </w:r>
          </w:p>
        </w:tc>
      </w:tr>
      <w:tr>
        <w:tc>
          <w:tcPr/>
          <w:p>
            <w:pPr>
              <w:pStyle w:val="Compact"/>
            </w:pPr>
            <w:r>
              <w:t xml:space="preserve">− drop Mahalanobis (centroid-L1 + k-NN)</w:t>
            </w:r>
          </w:p>
        </w:tc>
        <w:tc>
          <w:tcPr/>
          <w:p>
            <w:pPr>
              <w:pStyle w:val="Compact"/>
            </w:pPr>
            <w:r>
              <w:t xml:space="preserve">0.1330</w:t>
            </w:r>
          </w:p>
        </w:tc>
      </w:tr>
    </w:tbl>
    <w:p>
      <w:pPr>
        <w:pStyle w:val="BodyText"/>
      </w:pPr>
      <w:r>
        <w:t xml:space="preserve">Removing the centroid-L1 or the nearest-neighbour term changes the EER by essentially nothing, while removing the Ledoit–Wolf Mahalanobis term throws most of the advantage away, back toward the 0.1422 primary scorer. So the ensemble's edge isn't "averaging three distances"; it is the Mahalanobis term, computed in the learned space. The other two are numerically swamped — a Mahalanobis distance in 128 dimensions is far larger in scale than a mean-absolute L1 term, so in an unweighted mean it dominates the ranking. The right way to read §4.1 is that a shrinkage-covariance Mahalanobis distance inside the learned embedding recovers most of the gap to the baseline, with lower seed-to-seed variance than scaled-Manhattan. This also flags a clear improvement: scale the three terms before fusing, so the centroid and nearest-neighbour distances can actually contribute. The pattern is not seed-specific: across all 14 seeds the full ensemble averages 0.1326 and dropping the Mahalanobis term rises to 0.1783, while dropping centroid-L1 or k-NN leaves it unchanged at 0.1326.</w:t>
      </w:r>
    </w:p>
    <w:bookmarkEnd w:id="38"/>
    <w:bookmarkEnd w:id="39"/>
    <w:bookmarkStart w:id="43" w:name="X735612638e4e736e4693e459c258977262c0dfc"/>
    <w:p>
      <w:pPr>
        <w:pStyle w:val="Heading1"/>
      </w:pPr>
      <w:r>
        <w:t xml:space="preserve">5. Discussion</w:t>
      </w:r>
    </w:p>
    <w:p>
      <w:pPr>
        <w:pStyle w:val="FirstParagraph"/>
      </w:pPr>
      <w:r>
        <w:rPr>
          <w:b/>
          <w:bCs/>
        </w:rPr>
        <w:t xml:space="preserve">Objectives revisited.</w:t>
      </w:r>
      <w:r>
        <w:t xml:space="preserve"> </w:t>
      </w:r>
      <w:r>
        <w:t xml:space="preserve">Each objective from §1.1 carried a checkable success condition. Before I get into what the headline number means, here are the results tied back to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Met?</w:t>
            </w:r>
          </w:p>
        </w:tc>
        <w:tc>
          <w:tcPr/>
          <w:p>
            <w:pPr>
              <w:pStyle w:val="Compact"/>
            </w:pPr>
            <w:r>
              <w:t xml:space="preserve">Evidence</w:t>
            </w:r>
          </w:p>
        </w:tc>
      </w:tr>
      <w:tr>
        <w:tc>
          <w:tcPr/>
          <w:p>
            <w:pPr>
              <w:pStyle w:val="Compact"/>
            </w:pPr>
            <w:r>
              <w:t xml:space="preserve">O1 — build the keystroke encoder</w:t>
            </w:r>
          </w:p>
        </w:tc>
        <w:tc>
          <w:tcPr/>
          <w:p>
            <w:pPr>
              <w:pStyle w:val="Compact"/>
            </w:pPr>
            <w:r>
              <w:t xml:space="preserve">Yes</w:t>
            </w:r>
          </w:p>
        </w:tc>
        <w:tc>
          <w:tcPr/>
          <w:p>
            <w:pPr>
              <w:pStyle w:val="Compact"/>
            </w:pPr>
            <w:r>
              <w:t xml:space="preserve">128-D vector, CPU forward pass (§3.3); encoder test (§3.4)</w:t>
            </w:r>
          </w:p>
        </w:tc>
      </w:tr>
      <w:tr>
        <w:tc>
          <w:tcPr/>
          <w:p>
            <w:pPr>
              <w:pStyle w:val="Compact"/>
            </w:pPr>
            <w:r>
              <w:t xml:space="preserve">O2 — same-person windows cluster</w:t>
            </w:r>
          </w:p>
        </w:tc>
        <w:tc>
          <w:tcPr/>
          <w:p>
            <w:pPr>
              <w:pStyle w:val="Compact"/>
            </w:pPr>
            <w:r>
              <w:t xml:space="preserve">Yes</w:t>
            </w:r>
          </w:p>
        </w:tc>
        <w:tc>
          <w:tcPr/>
          <w:p>
            <w:pPr>
              <w:pStyle w:val="Compact"/>
            </w:pPr>
            <w:r>
              <w:t xml:space="preserve">intra &lt; inter distance test passes (§3.4); t-SNE clusters (§4.4)</w:t>
            </w:r>
          </w:p>
        </w:tc>
      </w:tr>
      <w:tr>
        <w:tc>
          <w:tcPr/>
          <w:p>
            <w:pPr>
              <w:pStyle w:val="Compact"/>
            </w:pPr>
            <w:r>
              <w:t xml:space="preserve">O3 — honest open-set EER</w:t>
            </w:r>
          </w:p>
        </w:tc>
        <w:tc>
          <w:tcPr/>
          <w:p>
            <w:pPr>
              <w:pStyle w:val="Compact"/>
            </w:pPr>
            <w:r>
              <w:t xml:space="preserve">Yes</w:t>
            </w:r>
          </w:p>
        </w:tc>
        <w:tc>
          <w:tcPr/>
          <w:p>
            <w:pPr>
              <w:pStyle w:val="Compact"/>
            </w:pPr>
            <w:r>
              <w:t xml:space="preserve">14.2% on 16 held-out people; the evaluator refuses to score training data (§3.6, §7.4)</w:t>
            </w:r>
          </w:p>
        </w:tc>
      </w:tr>
      <w:tr>
        <w:tc>
          <w:tcPr/>
          <w:p>
            <w:pPr>
              <w:pStyle w:val="Compact"/>
            </w:pPr>
            <w:r>
              <w:t xml:space="preserve">O4 — ensemble decision layer</w:t>
            </w:r>
          </w:p>
        </w:tc>
        <w:tc>
          <w:tcPr/>
          <w:p>
            <w:pPr>
              <w:pStyle w:val="Compact"/>
            </w:pPr>
            <w:r>
              <w:t xml:space="preserve">Yes</w:t>
            </w:r>
          </w:p>
        </w:tc>
        <w:tc>
          <w:tcPr/>
          <w:p>
            <w:pPr>
              <w:pStyle w:val="Compact"/>
            </w:pPr>
            <w:r>
              <w:t xml:space="preserve">two EERs from one run; ensemble 10.2% (§4.1)</w:t>
            </w:r>
          </w:p>
        </w:tc>
      </w:tr>
      <w:tr>
        <w:tc>
          <w:tcPr/>
          <w:p>
            <w:pPr>
              <w:pStyle w:val="Compact"/>
            </w:pPr>
            <w:r>
              <w:t xml:space="preserve">O5 — reproducible pipeline</w:t>
            </w:r>
          </w:p>
        </w:tc>
        <w:tc>
          <w:tcPr/>
          <w:p>
            <w:pPr>
              <w:pStyle w:val="Compact"/>
            </w:pPr>
            <w:r>
              <w:t xml:space="preserve">Yes</w:t>
            </w:r>
          </w:p>
        </w:tc>
        <w:tc>
          <w:tcPr/>
          <w:p>
            <w:pPr>
              <w:pStyle w:val="Compact"/>
            </w:pPr>
            <w:r>
              <w:t xml:space="preserve">regeneration from a pinned SHA and fixed seeds (App. B)</w:t>
            </w:r>
          </w:p>
        </w:tc>
      </w:tr>
      <w:tr>
        <w:tc>
          <w:tcPr/>
          <w:p>
            <w:pPr>
              <w:pStyle w:val="Compact"/>
            </w:pPr>
            <w:r>
              <w:t xml:space="preserve">O6 — live product, safe failure</w:t>
            </w:r>
          </w:p>
        </w:tc>
        <w:tc>
          <w:tcPr/>
          <w:p>
            <w:pPr>
              <w:pStyle w:val="Compact"/>
            </w:pPr>
            <w:r>
              <w:t xml:space="preserve">Yes</w:t>
            </w:r>
          </w:p>
        </w:tc>
        <w:tc>
          <w:tcPr/>
          <w:p>
            <w:pPr>
              <w:pStyle w:val="Compact"/>
            </w:pPr>
            <w:r>
              <w:t xml:space="preserve">consent → enrol → verify served end to end; any outage returns INDETERMINATE (§3.7, §4.5)</w:t>
            </w:r>
          </w:p>
        </w:tc>
      </w:tr>
    </w:tbl>
    <w:p>
      <w:pPr>
        <w:pStyle w:val="BodyText"/>
      </w:pPr>
      <w:r>
        <w:t xml:space="preserve">All six were met. The substance is in what the headline EER</w:t>
      </w:r>
      <w:r>
        <w:t xml:space="preserve"> </w:t>
      </w:r>
      <w:r>
        <w:rPr>
          <w:i/>
          <w:iCs/>
        </w:rPr>
        <w:t xml:space="preserve">means</w:t>
      </w:r>
      <w:r>
        <w:t xml:space="preserve"> </w:t>
      </w:r>
      <w:r>
        <w:t xml:space="preserve">against the baseline, which is the rest of this section.</w:t>
      </w:r>
    </w:p>
    <w:bookmarkStart w:id="40" w:name="X327960fcd61cfeb1af7205cdc68a81242e99bfb"/>
    <w:p>
      <w:pPr>
        <w:pStyle w:val="Heading2"/>
      </w:pPr>
      <w:r>
        <w:t xml:space="preserve">5.1 What the results mean</w:t>
      </w:r>
    </w:p>
    <w:p>
      <w:pPr>
        <w:pStyle w:val="FirstParagraph"/>
      </w:pPr>
      <w:r>
        <w:t xml:space="preserve">The aim asked whether a deep embedding plus a classical verifier can authenticate from typing rhythm, and how it compares with 9.6%. The honest answer has three parts:</w:t>
      </w:r>
    </w:p>
    <w:p>
      <w:pPr>
        <w:pStyle w:val="Compact"/>
        <w:numPr>
          <w:ilvl w:val="0"/>
          <w:numId w:val="1010"/>
        </w:numPr>
      </w:pPr>
      <w:r>
        <w:rPr>
          <w:b/>
          <w:bCs/>
        </w:rPr>
        <w:t xml:space="preserve">It authenticates.</w:t>
      </w:r>
      <w:r>
        <w:t xml:space="preserve"> </w:t>
      </w:r>
      <w:r>
        <w:t xml:space="preserve">Well above chance (0.5), reaching 0.10–0.14 on people it never trained on, end to end through a live service.</w:t>
      </w:r>
    </w:p>
    <w:p>
      <w:pPr>
        <w:pStyle w:val="Compact"/>
        <w:numPr>
          <w:ilvl w:val="0"/>
          <w:numId w:val="1010"/>
        </w:numPr>
      </w:pPr>
      <w:r>
        <w:rPr>
          <w:b/>
          <w:bCs/>
        </w:rPr>
        <w:t xml:space="preserve">It doesn't beat the classical baseline</w:t>
      </w:r>
      <w:r>
        <w:t xml:space="preserve"> </w:t>
      </w:r>
      <w:r>
        <w:t xml:space="preserve">on this small fixed-text benchmark: the headline scaled-Manhattan EER (14.2%) is above 9.6%. An honest negative, reported rather than hidden behind a kinder protocol.</w:t>
      </w:r>
    </w:p>
    <w:p>
      <w:pPr>
        <w:pStyle w:val="Compact"/>
        <w:numPr>
          <w:ilvl w:val="0"/>
          <w:numId w:val="1010"/>
        </w:numPr>
      </w:pPr>
      <w:r>
        <w:rPr>
          <w:b/>
          <w:bCs/>
        </w:rPr>
        <w:t xml:space="preserve">The hybrid idea holds, with a sharper mechanism than I first claimed.</w:t>
      </w:r>
      <w:r>
        <w:t xml:space="preserve"> </w:t>
      </w:r>
      <w:r>
        <w:t xml:space="preserve">The ensemble inside the learned space (10.2%, ±1.0%) is both closer to the baseline and steadier from seed to seed than the simple scorer on the same embeddings (SD 1.0% vs 2.8% across three seeds — indicative, not a significance claim). A component ablation (§4.7) traces that edge specifically to the Ledoit–Wolf Mahalanobis term inside the learned embedding, not to the averaging. A shrinkage-covariance verifier run inside a learned representation, measured honestly, is the contribution.</w:t>
      </w:r>
    </w:p>
    <w:p>
      <w:pPr>
        <w:pStyle w:val="FirstParagraph"/>
      </w:pPr>
      <w:r>
        <w:t xml:space="preserve">So a learned representation makes a classical verifier more reliable while staying open-set and content-independent, which is what a real product needs and the baseline is not.</w:t>
      </w:r>
    </w:p>
    <w:bookmarkEnd w:id="40"/>
    <w:bookmarkStart w:id="41" w:name="Xbe009feba3f3bfa1fed0bbbeb6c57d488993565"/>
    <w:p>
      <w:pPr>
        <w:pStyle w:val="Heading2"/>
      </w:pPr>
      <w:r>
        <w:t xml:space="preserve">5.2 Implications</w:t>
      </w:r>
    </w:p>
    <w:p>
      <w:pPr>
        <w:pStyle w:val="Compact"/>
        <w:numPr>
          <w:ilvl w:val="0"/>
          <w:numId w:val="1011"/>
        </w:numPr>
      </w:pPr>
      <w:r>
        <w:rPr>
          <w:b/>
          <w:bCs/>
        </w:rPr>
        <w:t xml:space="preserve">For account security.</w:t>
      </w:r>
      <w:r>
        <w:t xml:space="preserve"> </w:t>
      </w:r>
      <w:r>
        <w:t xml:space="preserve">Even a 10% EER biometric is useful as a</w:t>
      </w:r>
      <w:r>
        <w:t xml:space="preserve"> </w:t>
      </w:r>
      <w:r>
        <w:rPr>
          <w:i/>
          <w:iCs/>
        </w:rPr>
        <w:t xml:space="preserve">second</w:t>
      </w:r>
      <w:r>
        <w:t xml:space="preserve"> </w:t>
      </w:r>
      <w:r>
        <w:t xml:space="preserve">factor. Behind a password, it raises the bar for an attacker who only has stolen credentials, at no extra effort for the user; run continuously, it could catch session hijacking a password-only system never sees.</w:t>
      </w:r>
    </w:p>
    <w:p>
      <w:pPr>
        <w:pStyle w:val="Compact"/>
        <w:numPr>
          <w:ilvl w:val="0"/>
          <w:numId w:val="1011"/>
        </w:numPr>
      </w:pPr>
      <w:r>
        <w:rPr>
          <w:b/>
          <w:bCs/>
        </w:rPr>
        <w:t xml:space="preserve">For research.</w:t>
      </w:r>
      <w:r>
        <w:t xml:space="preserve"> </w:t>
      </w:r>
      <w:r>
        <w:t xml:space="preserve">A small, reproducible data point on whether deep embeddings help on small keystroke datasets. The finding (embedding plus ensemble lowers variance and nearly matches the baseline open-set) is modest but real, and the fully reproducible pipeline is worth something on its own in a field where reproducibility is often weak.</w:t>
      </w:r>
    </w:p>
    <w:p>
      <w:pPr>
        <w:pStyle w:val="Compact"/>
        <w:numPr>
          <w:ilvl w:val="0"/>
          <w:numId w:val="1011"/>
        </w:numPr>
      </w:pPr>
      <w:r>
        <w:rPr>
          <w:b/>
          <w:bCs/>
        </w:rPr>
        <w:t xml:space="preserve">For people who struggle with conventional authentication.</w:t>
      </w:r>
      <w:r>
        <w:t xml:space="preserve"> </w:t>
      </w:r>
      <w:r>
        <w:t xml:space="preserve">A silent biometric that needs no extra device</w:t>
      </w:r>
      <w:r>
        <w:t xml:space="preserve"> </w:t>
      </w:r>
      <w:r>
        <w:rPr>
          <w:i/>
          <w:iCs/>
        </w:rPr>
        <w:t xml:space="preserve">could</w:t>
      </w:r>
      <w:r>
        <w:t xml:space="preserve"> </w:t>
      </w:r>
      <w:r>
        <w:t xml:space="preserve">lower the barrier for people for whom passwords and tokens are a burden. I flag this as a hypothesis rather than a finding: I have not run an accessibility study, and a behavioural biometric also carries its own risks for people whose typing is less consistent (the high-EER subjects of §4.3 are a warning). It would need testing with the relevant users, and the §8 consent and fail-safe safeguards, before any such claim could be made.</w:t>
      </w:r>
    </w:p>
    <w:bookmarkEnd w:id="41"/>
    <w:bookmarkStart w:id="42" w:name="Xcb5d23797a5057262e99b0fd65106dea5f791fc"/>
    <w:p>
      <w:pPr>
        <w:pStyle w:val="Heading2"/>
      </w:pPr>
      <w:r>
        <w:t xml:space="preserve">5.3 Limitations</w:t>
      </w:r>
    </w:p>
    <w:p>
      <w:pPr>
        <w:pStyle w:val="FirstParagraph"/>
      </w:pPr>
      <w:r>
        <w:t xml:space="preserve">The conclusions only hold within their bounds: a single small public dataset (51 people, one 11-key password), a small CPU-trained model, and fixed text only, since the free-text claim is designed for but not yet measured on a real corpus. The per-user threshold ranks correctly but isn't yet calibrated to the fused score's scale (§7.6). The §4.6 ablation sharpens these limits rather than softening them: because no extra training, sampling or margin helped, the 11-key password, not the model and not the compute, is clearly the ceiling, which is why free text (§9) is the highest-value next step. None of this invalidates the measured EER, but each is a reason not to over-generalise from it.</w:t>
      </w:r>
    </w:p>
    <w:bookmarkEnd w:id="42"/>
    <w:bookmarkEnd w:id="43"/>
    <w:bookmarkStart w:id="44" w:name="X513a58a36683728cead1cad30c8becc341f7fc4"/>
    <w:p>
      <w:pPr>
        <w:pStyle w:val="Heading1"/>
      </w:pPr>
      <w:r>
        <w:t xml:space="preserve">6. How my decisions shaped the outcome</w:t>
      </w:r>
    </w:p>
    <w:p>
      <w:pPr>
        <w:pStyle w:val="FirstParagraph"/>
      </w:pPr>
      <w:r>
        <w:t xml:space="preserve">Six decisions mattered most.</w:t>
      </w:r>
    </w:p>
    <w:p>
      <w:pPr>
        <w:pStyle w:val="Compact"/>
        <w:numPr>
          <w:ilvl w:val="0"/>
          <w:numId w:val="1012"/>
        </w:numPr>
      </w:pPr>
      <w:r>
        <w:rPr>
          <w:b/>
          <w:bCs/>
        </w:rPr>
        <w:t xml:space="preserve">Open-set over the easier closed-set protocol</w:t>
      </w:r>
      <w:r>
        <w:t xml:space="preserve"> </w:t>
      </w:r>
      <w:r>
        <w:t xml:space="preserve">(§7.1) changed the meaning of every number in this report. Closed-set would have given a lower, more impressive, scientifically worthless EER. It cost a better-looking number and bought a defensible one — the biggest reason the report can be trusted at all.</w:t>
      </w:r>
    </w:p>
    <w:p>
      <w:pPr>
        <w:pStyle w:val="Compact"/>
        <w:numPr>
          <w:ilvl w:val="0"/>
          <w:numId w:val="1012"/>
        </w:numPr>
      </w:pPr>
      <w:r>
        <w:rPr>
          <w:b/>
          <w:bCs/>
        </w:rPr>
        <w:t xml:space="preserve">Keeping the classical ensemble</w:t>
      </w:r>
      <w:r>
        <w:t xml:space="preserve"> </w:t>
      </w:r>
      <w:r>
        <w:t xml:space="preserve">instead of going pure-deep produced the actual positive finding, the variance reduction in §4.1. Without it I'd have only the 14.2% number and no real contribution.</w:t>
      </w:r>
    </w:p>
    <w:p>
      <w:pPr>
        <w:pStyle w:val="Compact"/>
        <w:numPr>
          <w:ilvl w:val="0"/>
          <w:numId w:val="1012"/>
        </w:numPr>
      </w:pPr>
      <w:r>
        <w:rPr>
          <w:b/>
          <w:bCs/>
        </w:rPr>
        <w:t xml:space="preserve">Reporting scaled-Manhattan as the headline</w:t>
      </w:r>
      <w:r>
        <w:t xml:space="preserve"> </w:t>
      </w:r>
      <w:r>
        <w:t xml:space="preserve">against the baseline, rather than the kinder ensemble number, kept the central comparison honest. I fixed the metric before I saw which one flattered me.</w:t>
      </w:r>
    </w:p>
    <w:p>
      <w:pPr>
        <w:pStyle w:val="Compact"/>
        <w:numPr>
          <w:ilvl w:val="0"/>
          <w:numId w:val="1012"/>
        </w:numPr>
      </w:pPr>
      <w:r>
        <w:rPr>
          <w:b/>
          <w:bCs/>
        </w:rPr>
        <w:t xml:space="preserve">Training on local CPU instead of cloud GPU</w:t>
      </w:r>
      <w:r>
        <w:t xml:space="preserve"> </w:t>
      </w:r>
      <w:r>
        <w:t xml:space="preserve">(§1.5) gave the same result for £0, with no external dependency, and made it easier to reproduce.</w:t>
      </w:r>
    </w:p>
    <w:p>
      <w:pPr>
        <w:pStyle w:val="Compact"/>
        <w:numPr>
          <w:ilvl w:val="0"/>
          <w:numId w:val="1012"/>
        </w:numPr>
      </w:pPr>
      <w:r>
        <w:rPr>
          <w:b/>
          <w:bCs/>
        </w:rPr>
        <w:t xml:space="preserve">Building and running the real product slice</w:t>
      </w:r>
      <w:r>
        <w:t xml:space="preserve"> </w:t>
      </w:r>
      <w:r>
        <w:t xml:space="preserve">rather than stopping at the benchmark exposed the confidence-overflow crash (§7.5) no unit test caught.</w:t>
      </w:r>
    </w:p>
    <w:p>
      <w:pPr>
        <w:pStyle w:val="Compact"/>
        <w:numPr>
          <w:ilvl w:val="0"/>
          <w:numId w:val="1012"/>
        </w:numPr>
      </w:pPr>
      <w:r>
        <w:rPr>
          <w:b/>
          <w:bCs/>
        </w:rPr>
        <w:t xml:space="preserve">Refusing a noisy validation "win"</w:t>
      </w:r>
      <w:r>
        <w:t xml:space="preserve"> </w:t>
      </w:r>
      <w:r>
        <w:t xml:space="preserve">(§4.6): nested validation nominally preferred a longer-trained model by 0.003 EER, but it generalised worse on the test set, so I kept the original and wrote up the failed attempt.</w:t>
      </w:r>
    </w:p>
    <w:bookmarkEnd w:id="44"/>
    <w:bookmarkStart w:id="45" w:name="Xd3c8456b1f69c8d59bab9a2f1a1d4f444664f79"/>
    <w:p>
      <w:pPr>
        <w:pStyle w:val="Heading1"/>
      </w:pPr>
      <w:r>
        <w:t xml:space="preserve">7. Problems I found and fixed</w:t>
      </w:r>
    </w:p>
    <w:p>
      <w:pPr>
        <w:pStyle w:val="FirstParagraph"/>
      </w:pPr>
      <w:r>
        <w:t xml:space="preserve">I kept a machine-readable problem log (</w:t>
      </w:r>
      <w:r>
        <w:rPr>
          <w:rStyle w:val="VerbatimChar"/>
        </w:rPr>
        <w:t xml:space="preserve">research/artifacts/problem_log.json</w:t>
      </w:r>
      <w:r>
        <w:t xml:space="preserve">) of thirteen entries, each as problem → root cause → fix → how verified. The important ones weren't caught by a test passing, but by asking whether a passing test actually meant what it claimed. The full log is below; two are expanded afterwards.</w:t>
      </w:r>
    </w:p>
    <w:p>
      <w:pPr>
        <w:pStyle w:val="BodyText"/>
      </w:pPr>
      <w:r>
        <w:rPr>
          <w:b/>
          <w:bCs/>
        </w:rPr>
        <w:t xml:space="preserve">7.1 — The closed-set flaw (the most important problem).</w:t>
      </w:r>
      <w:r>
        <w:t xml:space="preserve"> </w:t>
      </w:r>
      <w:r>
        <w:t xml:space="preserve">The original evaluator trained the encoder on all 51 people, then measured EER per person, so the network had already met every test subject. That isn't comparable to a published open-set baseline, and anyone reading the training loop would rightly bin the result. The cause was simple: with no split by person, the split protected the profile but not the representation. The fix was a seeded 35/16 split, training on 35 and evaluating only on the 16 held-out, with a runtime check that no test person leaks into training. It's verified by an automated no-leakage test, and by the resulting EER (14.2%) landing honestly above the baseline rather than implausibly below it.</w:t>
      </w:r>
    </w:p>
    <w:p>
      <w:pPr>
        <w:pStyle w:val="BodyText"/>
      </w:pPr>
      <w:r>
        <w:rPr>
          <w:b/>
          <w:bCs/>
        </w:rPr>
        <w:t xml:space="preserve">7.5 — A crash only the real system showed.</w:t>
      </w:r>
      <w:r>
        <w:t xml:space="preserve"> </w:t>
      </w:r>
      <w:r>
        <w:t xml:space="preserve">The live</w:t>
      </w:r>
      <w:r>
        <w:t xml:space="preserve"> </w:t>
      </w:r>
      <w:r>
        <w:rPr>
          <w:rStyle w:val="VerbatimChar"/>
        </w:rPr>
        <w:t xml:space="preserve">/verify</w:t>
      </w:r>
      <w:r>
        <w:t xml:space="preserve"> </w:t>
      </w:r>
      <w:r>
        <w:t xml:space="preserve">endpoint returned HTTP 500 for a very consistent typist, and no unit test caught it. Here's why: such a typist, on a fixed 11-key password, produces nearly identical embeddings, so the per-user threshold drops close to zero, the confidence sigmoid's exponent (</w:t>
      </w:r>
      <w:r>
        <w:rPr>
          <w:rStyle w:val="VerbatimChar"/>
        </w:rPr>
        <w:t xml:space="preserve">score/threshold</w:t>
      </w:r>
      <w:r>
        <w:t xml:space="preserve">) blows up, and</w:t>
      </w:r>
      <w:r>
        <w:t xml:space="preserve"> </w:t>
      </w:r>
      <w:r>
        <w:rPr>
          <w:rStyle w:val="VerbatimChar"/>
        </w:rPr>
        <w:t xml:space="preserve">math.exp</w:t>
      </w:r>
      <w:r>
        <w:t xml:space="preserve"> </w:t>
      </w:r>
      <w:r>
        <w:t xml:space="preserve">overflows. I clamped the exponent to a safe range (lossless, since the sigmoid is flat there) and floored the threshold so no profile can be degenerate, verified by a regression test and a live run that still ranks impostor above genuine. Synthetic embeddings have artificial spread, so the tests never hit it; only real data from a real consistent typist did. It's the clearest case in the project of why running the real system beats trusting the tests.</w:t>
      </w:r>
    </w:p>
    <w:p>
      <w:pPr>
        <w:pStyle w:val="BodyText"/>
      </w:pPr>
      <w:r>
        <w:t xml:space="preserve">The other eleven carry the same discipline — among them the closed-set defect duplicated in the free-text path (#10), the column remap that stopped the real file training on all-zero timings (#12), the empty-test-set guard that blocks a fabricated 0.0 EER (#11), and</w:t>
      </w:r>
      <w:r>
        <w:t xml:space="preserve"> </w:t>
      </w:r>
      <w:r>
        <w:rPr>
          <w:rStyle w:val="VerbatimChar"/>
        </w:rPr>
        <w:t xml:space="preserve">weights_only=True</w:t>
      </w:r>
      <w:r>
        <w:t xml:space="preserve"> </w:t>
      </w:r>
      <w:r>
        <w:t xml:space="preserve">closing the arbitrary-code risk in model loading (#13). Each is in</w:t>
      </w:r>
      <w:r>
        <w:t xml:space="preserve"> </w:t>
      </w:r>
      <w:r>
        <w:rPr>
          <w:rStyle w:val="VerbatimChar"/>
        </w:rPr>
        <w:t xml:space="preserve">problem_log.json</w:t>
      </w:r>
      <w:r>
        <w:t xml:space="preserve"> </w:t>
      </w:r>
      <w:r>
        <w:t xml:space="preserve">in full.</w:t>
      </w:r>
    </w:p>
    <w:bookmarkEnd w:id="45"/>
    <w:bookmarkStart w:id="46" w:name="Xab9fa4bc80f5918cf688aa50f05f166ca478394"/>
    <w:p>
      <w:pPr>
        <w:pStyle w:val="Heading1"/>
      </w:pPr>
      <w:r>
        <w:t xml:space="preserve">8. Ethics and safety</w:t>
      </w:r>
    </w:p>
    <w:p>
      <w:pPr>
        <w:pStyle w:val="FirstParagraph"/>
      </w:pPr>
      <w:r>
        <w:t xml:space="preserve">Biometric authentication is ethically serious for one reason: it works. A system that can recognise people by their behaviour can also watch them. I made several deliberate choices to stay on the right side of that line.</w:t>
      </w:r>
    </w:p>
    <w:p>
      <w:pPr>
        <w:pStyle w:val="BodyText"/>
      </w:pPr>
      <w:r>
        <w:rPr>
          <w:b/>
          <w:bCs/>
        </w:rPr>
        <w:t xml:space="preserve">8.1 Biometric data is special.</w:t>
      </w:r>
      <w:r>
        <w:t xml:space="preserve"> </w:t>
      </w:r>
      <w:r>
        <w:t xml:space="preserve">Under UK/EU GDPR (Article 9), biometric data processed to uniquely identify a person is special-category data, the most protected class. Article 4(14) explicitly includes behavioural characteristics, and regulators treat typing rhythm as one. So the moment this system identifies someone, the data it handles is special-category — which shaped the decisions below.</w:t>
      </w:r>
    </w:p>
    <w:p>
      <w:pPr>
        <w:pStyle w:val="BodyText"/>
      </w:pPr>
      <w:r>
        <w:rPr>
          <w:b/>
          <w:bCs/>
        </w:rPr>
        <w:t xml:space="preserve">8.2 A public, anonymised dataset, not new identifiable data.</w:t>
      </w:r>
      <w:r>
        <w:t xml:space="preserve"> </w:t>
      </w:r>
      <w:r>
        <w:t xml:space="preserve">The headline result is measured entirely on the CMU benchmark, whose subjects are anonymised (s002, and so on) and consented to research use. I deliberately did not train the headline model on real product users, which would have created fresh identifiable behavioural data with all its consent and storage duties.</w:t>
      </w:r>
    </w:p>
    <w:p>
      <w:pPr>
        <w:pStyle w:val="BodyText"/>
      </w:pPr>
      <w:r>
        <w:rPr>
          <w:b/>
          <w:bCs/>
        </w:rPr>
        <w:t xml:space="preserve">8.3 Explicit, revocable consent in the product.</w:t>
      </w:r>
      <w:r>
        <w:t xml:space="preserve"> </w:t>
      </w:r>
      <w:r>
        <w:t xml:space="preserve">The product slice makes a user opt in before any window is captured, and opting out wipes their profile. Consent is a stored, timestamped record — the GDPR principles of lawful basis and data minimisation built into the product, not written on a policy page.</w:t>
      </w:r>
    </w:p>
    <w:p>
      <w:pPr>
        <w:pStyle w:val="BodyText"/>
      </w:pPr>
      <w:r>
        <w:rPr>
          <w:b/>
          <w:bCs/>
        </w:rPr>
        <w:t xml:space="preserve">8.4 Store templates, not raw timings; log decisions, not keystrokes.</w:t>
      </w:r>
      <w:r>
        <w:t xml:space="preserve"> </w:t>
      </w:r>
      <w:r>
        <w:t xml:space="preserve">The inference service is stateless and logs no raw timings. The product stores the derived profile (embeddings and statistics) and an audit log of decisions (score, version, risk), never the raw stream of what someone typed. A stolen profile is far less sensitive than a recording of everything they typed.</w:t>
      </w:r>
    </w:p>
    <w:p>
      <w:pPr>
        <w:pStyle w:val="BodyText"/>
      </w:pPr>
      <w:r>
        <w:rPr>
          <w:b/>
          <w:bCs/>
        </w:rPr>
        <w:t xml:space="preserve">8.5 Fail-safe, never fail-open.</w:t>
      </w:r>
      <w:r>
        <w:t xml:space="preserve"> </w:t>
      </w:r>
      <w:r>
        <w:t xml:space="preserve">Any outage or version mismatch returns "indeterminate" and forces another factor. It never defaults to "allow". That is an ethical choice as much as an engineering one.</w:t>
      </w:r>
    </w:p>
    <w:p>
      <w:pPr>
        <w:pStyle w:val="BodyText"/>
      </w:pPr>
      <w:r>
        <w:rPr>
          <w:b/>
          <w:bCs/>
        </w:rPr>
        <w:t xml:space="preserve">8.6 Dual use, and honest framing.</w:t>
      </w:r>
      <w:r>
        <w:t xml:space="preserve"> </w:t>
      </w:r>
      <w:r>
        <w:t xml:space="preserve">The same technology that protects an account can, in the wrong hands, track or de-anonymise people by their typing. I frame it as opt-in protection the user controls, not covert surveillance, and report the error rates rather than hide them. A 10% EER system must never be sold as infallible.</w:t>
      </w:r>
    </w:p>
    <w:p>
      <w:pPr>
        <w:pStyle w:val="BodyText"/>
      </w:pPr>
      <w:r>
        <w:rPr>
          <w:b/>
          <w:bCs/>
        </w:rPr>
        <w:t xml:space="preserve">8.7 Unequal error rates across users.</w:t>
      </w:r>
      <w:r>
        <w:t xml:space="preserve"> </w:t>
      </w:r>
      <w:r>
        <w:t xml:space="preserve">My own results carry a fairness problem I have to name. The per-subject EER (§4.3) runs from 0.9% for the most distinctive typist to 33.5% for the least — roughly a 37-fold difference in how often the system fails a person, on the same model and the same password. A biometric whose error rate is not uniform across users is a textbook disparate-impact risk: the people it serves worst would, in a careless deployment, be wrongly rejected (or wrongly admitted) far more often than the population EER suggests, and the headline 14.2% hides that completely. This is the concrete, measured reason the system must never be a sole factor (§8.5), and the reason a real deployment needs a</w:t>
      </w:r>
      <w:r>
        <w:t xml:space="preserve"> </w:t>
      </w:r>
      <w:r>
        <w:rPr>
          <w:i/>
          <w:iCs/>
        </w:rPr>
        <w:t xml:space="preserve">per-user</w:t>
      </w:r>
      <w:r>
        <w:t xml:space="preserve"> </w:t>
      </w:r>
      <w:r>
        <w:t xml:space="preserve">error audit, not just an aggregate EER, before it is trusted. It is also the honest counterweight to the accessibility hope in §5.2: the same technology that might lower a barrier for some users could raise one for others whose typing is simply less consistent. That group is not random, either — the high-EER users are the least internally-consistent typists (§4.3, Spearman ρ = −0.84 between separability and error), so a fair deployment can identify them in advance and lean on a fallback factor rather than quietly failing them more often.</w:t>
      </w:r>
    </w:p>
    <w:p>
      <w:pPr>
        <w:pStyle w:val="BodyText"/>
      </w:pPr>
      <w:r>
        <w:rPr>
          <w:b/>
          <w:bCs/>
        </w:rPr>
        <w:t xml:space="preserve">8.8 Risk assessment.</w:t>
      </w:r>
      <w:r>
        <w:t xml:space="preserve"> </w:t>
      </w:r>
      <w:r>
        <w:t xml:space="preserve">This is a software project with no physical hazards. The risks are informational: data leakage (§8.4), wrongly rejecting genuine users (mitigated by fail-safe step-up, never the only factor), the unequal error rates just described (§8.7), and over-claiming (mitigated by honest numbers).</w:t>
      </w:r>
    </w:p>
    <w:bookmarkEnd w:id="46"/>
    <w:bookmarkStart w:id="47" w:name="X3e1c85f81288f33579990b5d0be2e71d7cf9ed8"/>
    <w:p>
      <w:pPr>
        <w:pStyle w:val="Heading1"/>
      </w:pPr>
      <w:r>
        <w:t xml:space="preserve">9. Reflection</w:t>
      </w:r>
    </w:p>
    <w:p>
      <w:pPr>
        <w:pStyle w:val="FirstParagraph"/>
      </w:pPr>
      <w:r>
        <w:t xml:space="preserve">The project turned a corner the moment I stopped believing my own first result. My first evaluation gave an EER I was genuinely pleased with, until I read back through the training loop and realised the model had already seen, in training, the exact people I was testing it on. I hadn't cheated on purpose; the code had quietly handed me a flattering number and I'd been happy to take it. Forcing myself to treat a good result as something to attack, to ask "what would make this wrong?" before celebrating, is the habit I'll keep more than any single technique. Redoing it open-set (§7.1) cost me a nicer-looking number, and it's the decision I'm proudest of. It also drove home why biometrics are judged on EER and DET curves, not "accuracy": when you can fail in two opposite ways, one number hides the trade-off that matters.</w:t>
      </w:r>
    </w:p>
    <w:p>
      <w:pPr>
        <w:pStyle w:val="BodyText"/>
      </w:pPr>
      <w:r>
        <w:rPr>
          <w:b/>
          <w:bCs/>
        </w:rPr>
        <w:t xml:space="preserve">Doing it on my own.</w:t>
      </w:r>
      <w:r>
        <w:t xml:space="preserve"> </w:t>
      </w:r>
      <w:r>
        <w:t xml:space="preserve">With no mentor, every check on my work was one I ran on myself. That's probably why I eventually caught the closed-set mistake, since I'd trained myself to distrust my own results. It's also where working alone hurt: there was nobody else to glance over and say "hang on, aren't those your training subjects?" I made the mistake and was the only person who could catch it, and for a while I just didn't.</w:t>
      </w:r>
    </w:p>
    <w:p>
      <w:pPr>
        <w:pStyle w:val="BodyText"/>
      </w:pPr>
      <w:r>
        <w:rPr>
          <w:b/>
          <w:bCs/>
        </w:rPr>
        <w:t xml:space="preserve">What I would do next.</w:t>
      </w:r>
    </w:p>
    <w:p>
      <w:pPr>
        <w:pStyle w:val="Compact"/>
        <w:numPr>
          <w:ilvl w:val="0"/>
          <w:numId w:val="1013"/>
        </w:numPr>
      </w:pPr>
      <w:r>
        <w:rPr>
          <w:b/>
          <w:bCs/>
        </w:rPr>
        <w:t xml:space="preserve">Free text on a real corpus.</w:t>
      </w:r>
      <w:r>
        <w:t xml:space="preserve"> </w:t>
      </w:r>
      <w:r>
        <w:t xml:space="preserve">The 11-key password is the limiting factor (§4.3), and the ablation (§4.6) proved it: nothing I changed moved the result, so the ceiling is the data, not the model. The free-text pipeline is built and open-set-correct, but a real result needs a large public corpus, the Aalto 136-million-keystroke dataset. The clear next experiment.</w:t>
      </w:r>
    </w:p>
    <w:p>
      <w:pPr>
        <w:pStyle w:val="Compact"/>
        <w:numPr>
          <w:ilvl w:val="0"/>
          <w:numId w:val="1013"/>
        </w:numPr>
      </w:pPr>
      <w:r>
        <w:rPr>
          <w:b/>
          <w:bCs/>
        </w:rPr>
        <w:t xml:space="preserve">Fix the confidence scale</w:t>
      </w:r>
      <w:r>
        <w:t xml:space="preserve"> </w:t>
      </w:r>
      <w:r>
        <w:t xml:space="preserve">(§7.6) so the product's confidence percentage means something, not just the ranking.</w:t>
      </w:r>
    </w:p>
    <w:p>
      <w:pPr>
        <w:pStyle w:val="Compact"/>
        <w:numPr>
          <w:ilvl w:val="0"/>
          <w:numId w:val="1013"/>
        </w:numPr>
      </w:pPr>
      <w:r>
        <w:rPr>
          <w:b/>
          <w:bCs/>
        </w:rPr>
        <w:t xml:space="preserve">Train at scale on GPU.</w:t>
      </w:r>
      <w:r>
        <w:t xml:space="preserve"> </w:t>
      </w:r>
      <w:r>
        <w:t xml:space="preserve">Everything here ran on a laptop for £0. A bigger model on more data, following TypeNet, would test whether the hybrid's advantage holds as accuracy rises.</w:t>
      </w:r>
    </w:p>
    <w:p>
      <w:pPr>
        <w:pStyle w:val="Compact"/>
        <w:numPr>
          <w:ilvl w:val="0"/>
          <w:numId w:val="1013"/>
        </w:numPr>
      </w:pPr>
      <w:r>
        <w:rPr>
          <w:b/>
          <w:bCs/>
        </w:rPr>
        <w:t xml:space="preserve">Collect a small, consented dataset of real users</w:t>
      </w:r>
      <w:r>
        <w:t xml:space="preserve"> </w:t>
      </w:r>
      <w:r>
        <w:t xml:space="preserve">to test cross-dataset generalisation, with the §8 safeguards built in from the start.</w:t>
      </w:r>
    </w:p>
    <w:p>
      <w:pPr>
        <w:pStyle w:val="FirstParagraph"/>
      </w:pPr>
      <w:r>
        <w:rPr>
          <w:b/>
          <w:bCs/>
        </w:rPr>
        <w:t xml:space="preserve">What I'd change.</w:t>
      </w:r>
      <w:r>
        <w:t xml:space="preserve"> </w:t>
      </w:r>
      <w:r>
        <w:t xml:space="preserve">Two things. First, I'd write the whole evaluation protocol down before writing any of the evaluator. The closed-set flaw survived because the protocol only existed in my head, where it was easy to talk myself into a number I liked; on paper the leak would have been obvious. Second, I'd get a mentor, or even one peer reviewer, early on. Saying a result out loud to someone allowed to doubt you catches what re-reading your own code never will, and it would have caught my biggest mistake far sooner.</w:t>
      </w:r>
    </w:p>
    <w:bookmarkEnd w:id="47"/>
    <w:bookmarkStart w:id="48" w:name="Xc72408c88f6aa3f318e9c4f077d22b48a39071f"/>
    <w:p>
      <w:pPr>
        <w:pStyle w:val="Heading1"/>
      </w:pPr>
      <w:r>
        <w:t xml:space="preserve">10. Conclusion</w:t>
      </w:r>
    </w:p>
    <w:p>
      <w:pPr>
        <w:pStyle w:val="FirstParagraph"/>
      </w:pPr>
      <w:r>
        <w:t xml:space="preserve">I set out to find, honestly and reproducibly, whether a deep embedding of typing rhythm plus a classical verifier can authenticate a person on the CMU benchmark, and how it compares with the published 9.6%. Under a strict open-set protocol, on 16 people the model never saw, it reached 14.2% EER with the comparable scaled-Manhattan metric and 10.2% with the full ensemble, the ensemble both closer to the baseline and steadier from seed to seed (an indicative result on three seeds, not a statistical claim). The headline comparison is an honest near-miss. The real finding is that a learned representation makes a classical verifier more reliable and nearly recovers a strong hand-tuned baseline, while staying open-set and content-independent. What lasts here is less the number than how it was reached: an evaluation that doesn't flatter itself, thirteen problems found and fixed (one no unit test would have caught), an ethics section that treats biometric data as special-category data, and a result anyone can regenerate with one command.</w:t>
      </w:r>
    </w:p>
    <w:p>
      <w:pPr>
        <w:pStyle w:val="BodyText"/>
      </w:pPr>
      <w:r>
        <w:t xml:space="preserve">For me, this turned a frustrating personal experience, watching a stolen password defeat an account as if it belonged to the attacker, into something useful: a working, honestly-measured demonstration that the way a person types can be a quiet extra layer of defence. The next step is free-text, continuous verification, where the signal is far richer, and eventually an opt-in, user-controlled feature in the product it grew out of.</w:t>
      </w:r>
    </w:p>
    <w:bookmarkEnd w:id="48"/>
    <w:bookmarkStart w:id="49" w:name="X166fa55ed379cd2878f8ff27c30d3b705d15e96"/>
    <w:p>
      <w:pPr>
        <w:pStyle w:val="Heading1"/>
      </w:pPr>
      <w:r>
        <w:t xml:space="preserve">11. AI use statement</w:t>
      </w:r>
    </w:p>
    <w:p>
      <w:pPr>
        <w:pStyle w:val="FirstParagraph"/>
      </w:pPr>
      <w:r>
        <w:t xml:space="preserve">This follows CREST's AI policy, which allows AI help as long as the work is original (not whole AI-written sections passed off as your own), attributed, and explained.</w:t>
      </w:r>
    </w:p>
    <w:p>
      <w:pPr>
        <w:pStyle w:val="BodyText"/>
      </w:pPr>
      <w:r>
        <w:rPr>
          <w:b/>
          <w:bCs/>
        </w:rPr>
        <w:t xml:space="preserve">Tool.</w:t>
      </w:r>
      <w:r>
        <w:t xml:space="preserve"> </w:t>
      </w:r>
      <w:r>
        <w:t xml:space="preserve">Anthropic's Claude (Claude Opus 4.8), through the Claude Code command-line assistant, on a Windows laptop during the development work and while writing this report.</w:t>
      </w:r>
    </w:p>
    <w:p>
      <w:pPr>
        <w:pStyle w:val="BodyText"/>
      </w:pPr>
      <w:r>
        <w:rPr>
          <w:b/>
          <w:bCs/>
        </w:rPr>
        <w:t xml:space="preserve">What I used it for.</w:t>
      </w:r>
      <w:r>
        <w:t xml:space="preserve"> </w:t>
      </w:r>
      <w:r>
        <w:rPr>
          <w:i/>
          <w:iCs/>
        </w:rPr>
        <w:t xml:space="preserve">Code scaffolding and debugging:</w:t>
      </w:r>
      <w:r>
        <w:t xml:space="preserve"> </w:t>
      </w:r>
      <w:r>
        <w:t xml:space="preserve">first drafts of functions (the open-set split, the figure scripts, the profile builder) and help diagnosing bugs, all of which I reviewed, ran and tested; it produced no number in this report.</w:t>
      </w:r>
      <w:r>
        <w:t xml:space="preserve"> </w:t>
      </w:r>
      <w:r>
        <w:rPr>
          <w:i/>
          <w:iCs/>
        </w:rPr>
        <w:t xml:space="preserve">Finding references:</w:t>
      </w:r>
      <w:r>
        <w:t xml:space="preserve"> </w:t>
      </w:r>
      <w:r>
        <w:t xml:space="preserve">surfacing key papers (Killourhy–Maxion, TypeNet, FaceNet, Ledoit–Wolf, GDPR), checked against primary sources, dropping any I couldn't verify.</w:t>
      </w:r>
      <w:r>
        <w:t xml:space="preserve"> </w:t>
      </w:r>
      <w:r>
        <w:rPr>
          <w:i/>
          <w:iCs/>
        </w:rPr>
        <w:t xml:space="preserve">Drafting:</w:t>
      </w:r>
      <w:r>
        <w:t xml:space="preserve"> </w:t>
      </w:r>
      <w:r>
        <w:t xml:space="preserve">organising the report and producing draft prose, which I edited into my own voice, fact-checked, and finished with the personal parts only I can write.</w:t>
      </w:r>
    </w:p>
    <w:bookmarkEnd w:id="49"/>
    <w:bookmarkStart w:id="56" w:name="X73ec8a58acca179884be3e5d021328c4166a9a8"/>
    <w:p>
      <w:pPr>
        <w:pStyle w:val="Heading1"/>
      </w:pPr>
      <w:r>
        <w:t xml:space="preserve">12. References</w:t>
      </w:r>
    </w:p>
    <w:p>
      <w:pPr>
        <w:pStyle w:val="FirstParagraph"/>
      </w:pPr>
      <w:r>
        <w:t xml:space="preserve">Author–date style; URLs given for openly-accessible sources. Full provenance, including items I checked and rejected, is in</w:t>
      </w:r>
      <w:r>
        <w:t xml:space="preserve"> </w:t>
      </w:r>
      <w:r>
        <w:rPr>
          <w:rStyle w:val="VerbatimChar"/>
        </w:rPr>
        <w:t xml:space="preserve">CREST_Research_Dossier.md</w:t>
      </w:r>
      <w:r>
        <w:t xml:space="preserve">.</w:t>
      </w:r>
    </w:p>
    <w:p>
      <w:pPr>
        <w:pStyle w:val="Compact"/>
        <w:numPr>
          <w:ilvl w:val="0"/>
          <w:numId w:val="1014"/>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50">
        <w:r>
          <w:rPr>
            <w:rStyle w:val="Hyperlink"/>
          </w:rPr>
          <w:t xml:space="preserve">https://www.cs.cmu.edu/~keystroke/</w:t>
        </w:r>
      </w:hyperlink>
    </w:p>
    <w:p>
      <w:pPr>
        <w:pStyle w:val="Compact"/>
        <w:numPr>
          <w:ilvl w:val="0"/>
          <w:numId w:val="1014"/>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14"/>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14"/>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14"/>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14"/>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 (Reference implementation: scikit-learn</w:t>
      </w:r>
      <w:r>
        <w:t xml:space="preserve"> </w:t>
      </w:r>
      <w:r>
        <w:rPr>
          <w:rStyle w:val="VerbatimChar"/>
        </w:rPr>
        <w:t xml:space="preserve">LedoitWolf</w:t>
      </w:r>
      <w:r>
        <w:t xml:space="preserve">.)</w:t>
      </w:r>
    </w:p>
    <w:p>
      <w:pPr>
        <w:pStyle w:val="Compact"/>
        <w:numPr>
          <w:ilvl w:val="0"/>
          <w:numId w:val="1014"/>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51">
        <w:r>
          <w:rPr>
            <w:rStyle w:val="Hyperlink"/>
          </w:rPr>
          <w:t xml:space="preserve">https://userinterfaces.aalto.fi/136Mkeystrokes/</w:t>
        </w:r>
      </w:hyperlink>
    </w:p>
    <w:p>
      <w:pPr>
        <w:pStyle w:val="Compact"/>
        <w:numPr>
          <w:ilvl w:val="0"/>
          <w:numId w:val="1014"/>
        </w:numPr>
      </w:pPr>
      <w:r>
        <w:t xml:space="preserve">ISO/IEC 19795-1.</w:t>
      </w:r>
      <w:r>
        <w:t xml:space="preserve"> </w:t>
      </w:r>
      <w:r>
        <w:rPr>
          <w:i/>
          <w:iCs/>
        </w:rPr>
        <w:t xml:space="preserve">Information technology — Biometric performance testing and reporting — Part 1: Principles and framework.</w:t>
      </w:r>
      <w:r>
        <w:t xml:space="preserve"> </w:t>
      </w:r>
      <w:hyperlink r:id="rId52">
        <w:r>
          <w:rPr>
            <w:rStyle w:val="Hyperlink"/>
          </w:rPr>
          <w:t xml:space="preserve">https://www.iso.org/standard/73515.html</w:t>
        </w:r>
      </w:hyperlink>
    </w:p>
    <w:p>
      <w:pPr>
        <w:pStyle w:val="Compact"/>
        <w:numPr>
          <w:ilvl w:val="0"/>
          <w:numId w:val="1014"/>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14"/>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14"/>
        </w:numPr>
      </w:pPr>
      <w:r>
        <w:t xml:space="preserve">UK GDPR, Article 9 (special-category data) and Article 4(14) (definition of biometric data).</w:t>
      </w:r>
      <w:r>
        <w:t xml:space="preserve"> </w:t>
      </w:r>
      <w:hyperlink r:id="rId53">
        <w:r>
          <w:rPr>
            <w:rStyle w:val="Hyperlink"/>
          </w:rPr>
          <w:t xml:space="preserve">https://gdpr-info.eu/art-9-gdpr/</w:t>
        </w:r>
      </w:hyperlink>
      <w:r>
        <w:t xml:space="preserve"> </w:t>
      </w:r>
      <w:r>
        <w:t xml:space="preserve">; UK ICO guidance on biometric data.</w:t>
      </w:r>
    </w:p>
    <w:p>
      <w:pPr>
        <w:pStyle w:val="Compact"/>
        <w:numPr>
          <w:ilvl w:val="0"/>
          <w:numId w:val="1014"/>
        </w:numPr>
      </w:pPr>
      <w:r>
        <w:t xml:space="preserve">Verizon (2024).</w:t>
      </w:r>
      <w:r>
        <w:t xml:space="preserve"> </w:t>
      </w:r>
      <w:r>
        <w:rPr>
          <w:i/>
          <w:iCs/>
        </w:rPr>
        <w:t xml:space="preserve">2024 Data Breach Investigations Report (DBIR).</w:t>
      </w:r>
      <w:r>
        <w:t xml:space="preserve"> </w:t>
      </w:r>
      <w:r>
        <w:t xml:space="preserve">Stolen credentials involved in ≈ 88% of Basic Web Application Attacks; compromised credentials a leading initial-access vector.</w:t>
      </w:r>
      <w:r>
        <w:t xml:space="preserve"> </w:t>
      </w:r>
      <w:hyperlink r:id="rId54">
        <w:r>
          <w:rPr>
            <w:rStyle w:val="Hyperlink"/>
          </w:rPr>
          <w:t xml:space="preserve">https://www.verizon.com/business/resources/reports/dbir/</w:t>
        </w:r>
      </w:hyperlink>
    </w:p>
    <w:p>
      <w:pPr>
        <w:pStyle w:val="Compact"/>
        <w:numPr>
          <w:ilvl w:val="0"/>
          <w:numId w:val="1014"/>
        </w:numPr>
      </w:pPr>
      <w:r>
        <w:t xml:space="preserve">CREST Awards (British Science Association).</w:t>
      </w:r>
      <w:r>
        <w:t xml:space="preserve"> </w:t>
      </w:r>
      <w:r>
        <w:rPr>
          <w:i/>
          <w:iCs/>
        </w:rPr>
        <w:t xml:space="preserve">Gold criteria guidance</w:t>
      </w:r>
      <w:r>
        <w:t xml:space="preserve">,</w:t>
      </w:r>
      <w:r>
        <w:t xml:space="preserve"> </w:t>
      </w:r>
      <w:r>
        <w:rPr>
          <w:i/>
          <w:iCs/>
        </w:rPr>
        <w:t xml:space="preserve">Required documentation</w:t>
      </w:r>
      <w:r>
        <w:t xml:space="preserve">,</w:t>
      </w:r>
      <w:r>
        <w:t xml:space="preserve"> </w:t>
      </w:r>
      <w:r>
        <w:rPr>
          <w:i/>
          <w:iCs/>
        </w:rPr>
        <w:t xml:space="preserve">AI guidance for students</w:t>
      </w:r>
      <w:r>
        <w:t xml:space="preserve">.</w:t>
      </w:r>
      <w:r>
        <w:t xml:space="preserve"> </w:t>
      </w:r>
      <w:hyperlink r:id="rId55">
        <w:r>
          <w:rPr>
            <w:rStyle w:val="Hyperlink"/>
          </w:rPr>
          <w:t xml:space="preserve">https://www.crestawards.org/help-centre/gold-criteria-guidance/</w:t>
        </w:r>
      </w:hyperlink>
    </w:p>
    <w:p>
      <w:pPr>
        <w:pStyle w:val="Compact"/>
        <w:numPr>
          <w:ilvl w:val="0"/>
          <w:numId w:val="1014"/>
        </w:numPr>
      </w:pPr>
      <w:r>
        <w:t xml:space="preserve">Cho, K., van Merriënboer, B., Gulcehre, C., Bahdanau, D., Bougares, F., Schwenk, H. &amp; Bengio, Y. (2014).</w:t>
      </w:r>
      <w:r>
        <w:t xml:space="preserve"> </w:t>
      </w:r>
      <w:r>
        <w:rPr>
          <w:i/>
          <w:iCs/>
        </w:rPr>
        <w:t xml:space="preserve">Learning Phrase Representations using RNN Encoder–Decoder for Statistical Machine Translation (GRU).</w:t>
      </w:r>
      <w:r>
        <w:t xml:space="preserve"> </w:t>
      </w:r>
      <w:r>
        <w:t xml:space="preserve">EMNLP 2014. arXiv:1406.1078.</w:t>
      </w:r>
    </w:p>
    <w:p>
      <w:pPr>
        <w:pStyle w:val="Compact"/>
        <w:numPr>
          <w:ilvl w:val="0"/>
          <w:numId w:val="1014"/>
        </w:numPr>
      </w:pPr>
      <w:r>
        <w:t xml:space="preserve">Bahdanau, D., Cho, K. &amp; Bengio, Y. (2015).</w:t>
      </w:r>
      <w:r>
        <w:t xml:space="preserve"> </w:t>
      </w:r>
      <w:r>
        <w:rPr>
          <w:i/>
          <w:iCs/>
        </w:rPr>
        <w:t xml:space="preserve">Neural Machine Translation by Jointly Learning to Align and Translate (additive attention).</w:t>
      </w:r>
      <w:r>
        <w:t xml:space="preserve"> </w:t>
      </w:r>
      <w:r>
        <w:t xml:space="preserve">ICLR 2015. arXiv:1409.0473.</w:t>
      </w:r>
    </w:p>
    <w:p>
      <w:pPr>
        <w:pStyle w:val="Compact"/>
        <w:numPr>
          <w:ilvl w:val="0"/>
          <w:numId w:val="1014"/>
        </w:numPr>
      </w:pPr>
      <w:r>
        <w:t xml:space="preserve">van der Maaten, L. &amp; Hinton, G. (2008).</w:t>
      </w:r>
      <w:r>
        <w:t xml:space="preserve"> </w:t>
      </w:r>
      <w:r>
        <w:rPr>
          <w:i/>
          <w:iCs/>
        </w:rPr>
        <w:t xml:space="preserve">Visualizing Data using t-SNE.</w:t>
      </w:r>
      <w:r>
        <w:t xml:space="preserve"> </w:t>
      </w:r>
      <w:r>
        <w:t xml:space="preserve">Journal of Machine Learning Research 9, 2579–2605.</w:t>
      </w:r>
    </w:p>
    <w:p>
      <w:pPr>
        <w:pStyle w:val="Compact"/>
        <w:numPr>
          <w:ilvl w:val="0"/>
          <w:numId w:val="1014"/>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56"/>
    <w:bookmarkStart w:id="65" w:name="X887ab771b4aa1ac483cc446b8c65596661711fe"/>
    <w:p>
      <w:pPr>
        <w:pStyle w:val="Heading1"/>
      </w:pPr>
      <w:r>
        <w:t xml:space="preserve">13. Appendices</w:t>
      </w:r>
    </w:p>
    <w:bookmarkStart w:id="57" w:name="appendix-a--glossary"/>
    <w:p>
      <w:pPr>
        <w:pStyle w:val="Heading2"/>
      </w:pPr>
      <w:r>
        <w:t xml:space="preserve">Appendix A — Glossary</w:t>
      </w:r>
    </w:p>
    <w:p>
      <w:pPr>
        <w:pStyle w:val="Compact"/>
        <w:numPr>
          <w:ilvl w:val="0"/>
          <w:numId w:val="1015"/>
        </w:numPr>
      </w:pPr>
      <w:r>
        <w:rPr>
          <w:b/>
          <w:bCs/>
        </w:rPr>
        <w:t xml:space="preserve">Behavioural biometric</w:t>
      </w:r>
      <w:r>
        <w:t xml:space="preserve"> </w:t>
      </w:r>
      <w:r>
        <w:t xml:space="preserve">— recognition by how you act (typing rhythm, gait), not what you are; keystroke dynamics recognises a person by their typing timing.</w:t>
      </w:r>
    </w:p>
    <w:p>
      <w:pPr>
        <w:pStyle w:val="Compact"/>
        <w:numPr>
          <w:ilvl w:val="0"/>
          <w:numId w:val="1015"/>
        </w:numPr>
      </w:pPr>
      <w:r>
        <w:rPr>
          <w:b/>
          <w:bCs/>
        </w:rPr>
        <w:t xml:space="preserve">Embedding</w:t>
      </w:r>
      <w:r>
        <w:t xml:space="preserve"> </w:t>
      </w:r>
      <w:r>
        <w:t xml:space="preserve">— a fixed-length vector representation of an input; here, 128 numbers per window.</w:t>
      </w:r>
    </w:p>
    <w:p>
      <w:pPr>
        <w:pStyle w:val="Compact"/>
        <w:numPr>
          <w:ilvl w:val="0"/>
          <w:numId w:val="1015"/>
        </w:numPr>
      </w:pPr>
      <w:r>
        <w:rPr>
          <w:b/>
          <w:bCs/>
        </w:rPr>
        <w:t xml:space="preserve">Triplet loss</w:t>
      </w:r>
      <w:r>
        <w:t xml:space="preserve"> </w:t>
      </w:r>
      <w:r>
        <w:t xml:space="preserve">— a training objective that pulls same-person embeddings together and pushes different-person ones apart.</w:t>
      </w:r>
    </w:p>
    <w:p>
      <w:pPr>
        <w:pStyle w:val="Compact"/>
        <w:numPr>
          <w:ilvl w:val="0"/>
          <w:numId w:val="1015"/>
        </w:numPr>
      </w:pPr>
      <w:r>
        <w:rPr>
          <w:b/>
          <w:bCs/>
        </w:rPr>
        <w:t xml:space="preserve">EER (Equal Error Rate)</w:t>
      </w:r>
      <w:r>
        <w:t xml:space="preserve"> </w:t>
      </w:r>
      <w:r>
        <w:t xml:space="preserve">— the threshold where the false-accept rate (FAR, impostors let in) equals the false-reject rate (FRR, genuine users turned away); lower is better. The DET curve plots FAR against FRR across thresholds.</w:t>
      </w:r>
    </w:p>
    <w:p>
      <w:pPr>
        <w:pStyle w:val="Compact"/>
        <w:numPr>
          <w:ilvl w:val="0"/>
          <w:numId w:val="1015"/>
        </w:numPr>
      </w:pPr>
      <w:r>
        <w:rPr>
          <w:b/>
          <w:bCs/>
        </w:rPr>
        <w:t xml:space="preserve">Open-set</w:t>
      </w:r>
      <w:r>
        <w:t xml:space="preserve"> </w:t>
      </w:r>
      <w:r>
        <w:t xml:space="preserve">— tested on people not seen in training (the honest test for authentication).</w:t>
      </w:r>
    </w:p>
    <w:p>
      <w:pPr>
        <w:pStyle w:val="Compact"/>
        <w:numPr>
          <w:ilvl w:val="0"/>
          <w:numId w:val="1015"/>
        </w:numPr>
      </w:pPr>
      <w:r>
        <w:rPr>
          <w:b/>
          <w:bCs/>
        </w:rPr>
        <w:t xml:space="preserve">Nested validation</w:t>
      </w:r>
      <w:r>
        <w:t xml:space="preserve"> </w:t>
      </w:r>
      <w:r>
        <w:t xml:space="preserve">— choosing settings on a validation split carved from the training data, so the test set is never used to choose anything.</w:t>
      </w:r>
    </w:p>
    <w:p>
      <w:pPr>
        <w:pStyle w:val="Compact"/>
        <w:numPr>
          <w:ilvl w:val="0"/>
          <w:numId w:val="1015"/>
        </w:numPr>
      </w:pPr>
      <w:r>
        <w:rPr>
          <w:b/>
          <w:bCs/>
        </w:rPr>
        <w:t xml:space="preserve">Mahalanobis distance</w:t>
      </w:r>
      <w:r>
        <w:t xml:space="preserve"> </w:t>
      </w:r>
      <w:r>
        <w:t xml:space="preserve">— a distance that accounts for correlations between dimensions.</w:t>
      </w:r>
    </w:p>
    <w:p>
      <w:pPr>
        <w:pStyle w:val="Compact"/>
        <w:numPr>
          <w:ilvl w:val="0"/>
          <w:numId w:val="1015"/>
        </w:numPr>
      </w:pPr>
      <w:r>
        <w:rPr>
          <w:b/>
          <w:bCs/>
        </w:rPr>
        <w:t xml:space="preserve">Ledoit–Wolf shrinkage</w:t>
      </w:r>
      <w:r>
        <w:t xml:space="preserve"> </w:t>
      </w:r>
      <w:r>
        <w:t xml:space="preserve">— a way to make a covariance matrix stable and invertible from few samples.</w:t>
      </w:r>
    </w:p>
    <w:p>
      <w:pPr>
        <w:pStyle w:val="Compact"/>
        <w:numPr>
          <w:ilvl w:val="0"/>
          <w:numId w:val="1015"/>
        </w:numPr>
      </w:pPr>
      <w:r>
        <w:rPr>
          <w:b/>
          <w:bCs/>
        </w:rPr>
        <w:t xml:space="preserve">CMU dataset</w:t>
      </w:r>
      <w:r>
        <w:t xml:space="preserve"> </w:t>
      </w:r>
      <w:r>
        <w:t xml:space="preserve">— the Killourhy–Maxion keystroke benchmark (51 people, password</w:t>
      </w:r>
      <w:r>
        <w:t xml:space="preserve"> </w:t>
      </w:r>
      <w:r>
        <w:rPr>
          <w:rStyle w:val="VerbatimChar"/>
        </w:rPr>
        <w:t xml:space="preserve">.tie5Roanl</w:t>
      </w:r>
      <w:r>
        <w:t xml:space="preserve">).</w:t>
      </w:r>
    </w:p>
    <w:bookmarkEnd w:id="57"/>
    <w:bookmarkStart w:id="64" w:name="appendix-b--full-results-and-figures"/>
    <w:p>
      <w:pPr>
        <w:pStyle w:val="Heading2"/>
      </w:pPr>
      <w:r>
        <w:t xml:space="preserve">Appendix B — Full results and figures</w:t>
      </w:r>
    </w:p>
    <w:p>
      <w:pPr>
        <w:pStyle w:val="FirstParagraph"/>
      </w:pPr>
      <w:r>
        <w:t xml:space="preserve">Per-subject EER (scaled-Manhattan,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seed-42 mean of these is 0.1421, which matches the headline seed-42 EER (a consistency check). The spread from 0.9% to 33.5% is the §4.3 finding: the limiting factor is the information in an 11-key password, not the model.</w:t>
      </w:r>
    </w:p>
    <w:p>
      <w:pPr>
        <w:pStyle w:val="BodyText"/>
      </w:pPr>
      <w:r>
        <w:t xml:space="preserve">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pPr>
        <w:pStyle w:val="BodyText"/>
      </w:pPr>
      <w:r>
        <w:rPr>
          <w:b/>
          <w:bCs/>
        </w:rPr>
        <w:t xml:space="preserve">Provenance fingerprints (for independent verification).</w:t>
      </w:r>
      <w:r>
        <w:t xml:space="preserve"> </w:t>
      </w:r>
      <w:r>
        <w:t xml:space="preserve">So the result can be checked without the repository, the exact identifiers behind the numbers above:</w:t>
      </w:r>
    </w:p>
    <w:p>
      <w:pPr>
        <w:pStyle w:val="Compact"/>
        <w:numPr>
          <w:ilvl w:val="0"/>
          <w:numId w:val="1016"/>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16"/>
        </w:numPr>
      </w:pPr>
      <w:r>
        <w:t xml:space="preserve">Git commit of the recorded run:</w:t>
      </w:r>
      <w:r>
        <w:t xml:space="preserve"> </w:t>
      </w:r>
      <w:r>
        <w:rPr>
          <w:rStyle w:val="VerbatimChar"/>
        </w:rPr>
        <w:t xml:space="preserve">13fafe8f039d969fd77734b67d2457d37c59f918</w:t>
      </w:r>
    </w:p>
    <w:p>
      <w:pPr>
        <w:pStyle w:val="Compact"/>
        <w:numPr>
          <w:ilvl w:val="0"/>
          <w:numId w:val="1016"/>
        </w:numPr>
      </w:pPr>
      <w:r>
        <w:t xml:space="preserve">Seeds 42 / 43 / 44 · embedding dim 128 · 60 epochs · CPU · ~23 min total</w:t>
      </w:r>
    </w:p>
    <w:p>
      <w:pPr>
        <w:pStyle w:val="FirstParagraph"/>
      </w:pPr>
      <w:r>
        <w:t xml:space="preserve">The model artifact and</w:t>
      </w:r>
      <w:r>
        <w:t xml:space="preserve"> </w:t>
      </w:r>
      <w:r>
        <w:rPr>
          <w:rStyle w:val="VerbatimChar"/>
        </w:rPr>
        <w:t xml:space="preserve">metrics.json</w:t>
      </w:r>
      <w:r>
        <w:t xml:space="preserve"> </w:t>
      </w:r>
      <w:r>
        <w:t xml:space="preserve">both record this commit, and</w:t>
      </w:r>
      <w:r>
        <w:t xml:space="preserve"> </w:t>
      </w:r>
      <w:r>
        <w:rPr>
          <w:rStyle w:val="VerbatimChar"/>
        </w:rPr>
        <w:t xml:space="preserve">metrics.json</w:t>
      </w:r>
      <w:r>
        <w:t xml:space="preserve"> </w:t>
      </w:r>
      <w:r>
        <w:t xml:space="preserve">records this SHA-256, so the data, the code version and the result are provably one triple.</w:t>
      </w:r>
    </w:p>
    <w:p>
      <w:pPr>
        <w:pStyle w:val="BodyText"/>
      </w:pPr>
      <w:r>
        <w:t xml:space="preserve">Both figures are generated by</w:t>
      </w:r>
      <w:r>
        <w:t xml:space="preserve"> </w:t>
      </w:r>
      <w:r>
        <w:rPr>
          <w:rStyle w:val="VerbatimChar"/>
        </w:rPr>
        <w:t xml:space="preserve">research/scripts/make_figures.py</w:t>
      </w:r>
      <w:r>
        <w:t xml:space="preserve"> </w:t>
      </w:r>
      <w:r>
        <w:t xml:space="preserve">and live in</w:t>
      </w:r>
      <w:r>
        <w:t xml:space="preserve"> </w:t>
      </w:r>
      <w:r>
        <w:rPr>
          <w:rStyle w:val="VerbatimChar"/>
        </w:rPr>
        <w:t xml:space="preserve">research/artifacts/</w:t>
      </w:r>
      <w:r>
        <w:t xml:space="preserve">.</w:t>
      </w:r>
    </w:p>
    <w:p>
      <w:pPr>
        <w:pStyle w:val="BodyText"/>
      </w:pPr>
      <w:r>
        <w:rPr>
          <w:b/>
          <w:bCs/>
        </w:rPr>
        <w:t xml:space="preserve">Figure B.1 — DET curve.</w:t>
      </w:r>
    </w:p>
    <w:p>
      <w:pPr>
        <w:pStyle w:val="BodyText"/>
      </w:pPr>
      <w:r>
        <w:drawing>
          <wp:inline>
            <wp:extent cx="5029200" cy="4572000"/>
            <wp:effectExtent b="0" l="0" r="0" t="0"/>
            <wp:docPr descr="DET curve for the headline scaled-Manhattan scorer on the 16 held-out people, plotting FRR against FAR across all thresholds." title="" id="59" name="Picture"/>
            <a:graphic>
              <a:graphicData uri="http://schemas.openxmlformats.org/drawingml/2006/picture">
                <pic:pic>
                  <pic:nvPicPr>
                    <pic:cNvPr descr="research/artifacts/det_curve.png" id="60" name="Picture"/>
                    <pic:cNvPicPr>
                      <a:picLocks noChangeArrowheads="1" noChangeAspect="1"/>
                    </pic:cNvPicPr>
                  </pic:nvPicPr>
                  <pic:blipFill>
                    <a:blip r:embed="rId58"/>
                    <a:stretch>
                      <a:fillRect/>
                    </a:stretch>
                  </pic:blipFill>
                  <pic:spPr bwMode="auto">
                    <a:xfrm>
                      <a:off x="0" y="0"/>
                      <a:ext cx="5029200" cy="4572000"/>
                    </a:xfrm>
                    <a:prstGeom prst="rect">
                      <a:avLst/>
                    </a:prstGeom>
                    <a:noFill/>
                    <a:ln w="9525">
                      <a:noFill/>
                      <a:headEnd/>
                      <a:tailEnd/>
                    </a:ln>
                  </pic:spPr>
                </pic:pic>
              </a:graphicData>
            </a:graphic>
          </wp:inline>
        </w:drawing>
      </w:r>
    </w:p>
    <w:p>
      <w:pPr>
        <w:pStyle w:val="BodyText"/>
      </w:pPr>
      <w:r>
        <w:rPr>
          <w:i/>
          <w:iCs/>
        </w:rPr>
        <w:t xml:space="preserve">FRR plotted against FAR across all decision thresholds for the headline scaled-Manhattan scorer on the 16 held-out people. The equal-error point sits on the FAR = FRR diagonal at 14.2%; the 9.6% published baseline (Killourhy &amp; Maxion 2009) is marked for reference. See §4.2.</w:t>
      </w:r>
    </w:p>
    <w:p>
      <w:pPr>
        <w:pStyle w:val="BodyText"/>
      </w:pPr>
      <w:r>
        <w:rPr>
          <w:b/>
          <w:bCs/>
        </w:rPr>
        <w:t xml:space="preserve">Figure B.2 — Embedding space (t-SNE).</w:t>
      </w:r>
    </w:p>
    <w:p>
      <w:pPr>
        <w:pStyle w:val="BodyText"/>
      </w:pPr>
      <w:r>
        <w:drawing>
          <wp:inline>
            <wp:extent cx="5334000" cy="4513384"/>
            <wp:effectExtent b="0" l="0" r="0" t="0"/>
            <wp:docPr descr="t-SNE projection of the 16 held-out people's 128-D embeddings into two dimensions, coloured by person." title="" id="62" name="Picture"/>
            <a:graphic>
              <a:graphicData uri="http://schemas.openxmlformats.org/drawingml/2006/picture">
                <pic:pic>
                  <pic:nvPicPr>
                    <pic:cNvPr descr="research/artifacts/tsne.png" id="63" name="Picture"/>
                    <pic:cNvPicPr>
                      <a:picLocks noChangeArrowheads="1" noChangeAspect="1"/>
                    </pic:cNvPicPr>
                  </pic:nvPicPr>
                  <pic:blipFill>
                    <a:blip r:embed="rId61"/>
                    <a:stretch>
                      <a:fillRect/>
                    </a:stretch>
                  </pic:blipFill>
                  <pic:spPr bwMode="auto">
                    <a:xfrm>
                      <a:off x="0" y="0"/>
                      <a:ext cx="5334000" cy="4513384"/>
                    </a:xfrm>
                    <a:prstGeom prst="rect">
                      <a:avLst/>
                    </a:prstGeom>
                    <a:noFill/>
                    <a:ln w="9525">
                      <a:noFill/>
                      <a:headEnd/>
                      <a:tailEnd/>
                    </a:ln>
                  </pic:spPr>
                </pic:pic>
              </a:graphicData>
            </a:graphic>
          </wp:inline>
        </w:drawing>
      </w:r>
    </w:p>
    <w:p>
      <w:pPr>
        <w:pStyle w:val="BodyText"/>
      </w:pPr>
      <w:r>
        <w:rPr>
          <w:i/>
          <w:iCs/>
        </w:rPr>
        <w:t xml:space="preserve">The 128-D embeddings of the 16 held-out people, projected to 2-D with t-SNE and coloured by person. Several people form tight, well-separated clusters even though the encoder never trained on them; the denser overlap region corresponds to the high-EER people of §4.3, so the picture and the numbers agree. See §4.4.</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53" Target="https://gdpr-info.eu/art-9-gdpr/" TargetMode="External" /><Relationship Type="http://schemas.openxmlformats.org/officeDocument/2006/relationships/hyperlink" Id="rId51" Target="https://userinterfaces.aalto.fi/136Mkeystrokes/" TargetMode="External" /><Relationship Type="http://schemas.openxmlformats.org/officeDocument/2006/relationships/hyperlink" Id="rId55" Target="https://www.crestawards.org/help-centre/gold-criteria-guidance/" TargetMode="External" /><Relationship Type="http://schemas.openxmlformats.org/officeDocument/2006/relationships/hyperlink" Id="rId50" Target="https://www.cs.cmu.edu/~keystroke/" TargetMode="External" /><Relationship Type="http://schemas.openxmlformats.org/officeDocument/2006/relationships/hyperlink" Id="rId52" Target="https://www.iso.org/standard/73515.html" TargetMode="External" /><Relationship Type="http://schemas.openxmlformats.org/officeDocument/2006/relationships/hyperlink" Id="rId54"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53" Target="https://gdpr-info.eu/art-9-gdpr/" TargetMode="External" /><Relationship Type="http://schemas.openxmlformats.org/officeDocument/2006/relationships/hyperlink" Id="rId51" Target="https://userinterfaces.aalto.fi/136Mkeystrokes/" TargetMode="External" /><Relationship Type="http://schemas.openxmlformats.org/officeDocument/2006/relationships/hyperlink" Id="rId55" Target="https://www.crestawards.org/help-centre/gold-criteria-guidance/" TargetMode="External" /><Relationship Type="http://schemas.openxmlformats.org/officeDocument/2006/relationships/hyperlink" Id="rId50" Target="https://www.cs.cmu.edu/~keystroke/" TargetMode="External" /><Relationship Type="http://schemas.openxmlformats.org/officeDocument/2006/relationships/hyperlink" Id="rId52" Target="https://www.iso.org/standard/73515.html" TargetMode="External" /><Relationship Type="http://schemas.openxmlformats.org/officeDocument/2006/relationships/hyperlink" Id="rId54"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2026-07-01T13:34:57Z</dcterms:created>
  <dcterms:modified xsi:type="dcterms:W3CDTF">2026-07-01T13:34:57Z</dcterms:modified>
</cp:coreProperties>
</file>

<file path=docProps/custom.xml><?xml version="1.0" encoding="utf-8"?>
<Properties xmlns="http://schemas.openxmlformats.org/officeDocument/2006/custom-properties" xmlns:vt="http://schemas.openxmlformats.org/officeDocument/2006/docPropsVTypes"/>
</file>