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in-brief"/>
    <w:p>
      <w:pPr>
        <w:pStyle w:val="Heading2"/>
      </w:pPr>
      <w:r>
        <w:t xml:space="preserve">In brief</w:t>
      </w:r>
    </w:p>
    <w:p>
      <w:pPr>
        <w:pStyle w:val="FirstParagraph"/>
      </w:pPr>
      <w:r>
        <w:t xml:space="preserve">Someone broke into an account I cared about using a stolen password, and the system raised no alarm — the password was correct, so as far as the system knew, the attacker was me. This project asks whether the</w:t>
      </w:r>
      <w:r>
        <w:t xml:space="preserve"> </w:t>
      </w:r>
      <w:r>
        <w:rPr>
          <w:i/>
          <w:iCs/>
        </w:rPr>
        <w:t xml:space="preserve">way</w:t>
      </w:r>
      <w:r>
        <w:t xml:space="preserve"> </w:t>
      </w:r>
      <w:r>
        <w:t xml:space="preserve">a person types — their rhythm — could serve as a quiet second check that a stolen password cannot fake. I built a system that turns a burst of typing into a form of numerical fingerprint and decides whether a new burst matches. Tested on 51 people typing the same password, and judged only on people it had never seen, it was wrong about one decision in ten — good, but not quite good enough to beat the best method from a well-known 2009 study. This is an account of building it, of the mistake that nearly produced a far more impressive but entirely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A password that defended nothing</w:t>
      </w:r>
    </w:p>
    <w:p>
      <w:pPr>
        <w:pStyle w:val="Compact"/>
        <w:numPr>
          <w:ilvl w:val="0"/>
          <w:numId w:val="1001"/>
        </w:numPr>
      </w:pPr>
      <w:r>
        <w:t xml:space="preserve">You type like nobody else</w:t>
      </w:r>
    </w:p>
    <w:p>
      <w:pPr>
        <w:pStyle w:val="Compact"/>
        <w:numPr>
          <w:ilvl w:val="0"/>
          <w:numId w:val="1001"/>
        </w:numPr>
      </w:pPr>
      <w:r>
        <w:t xml:space="preserve">Building a typing fingerprint</w:t>
      </w:r>
    </w:p>
    <w:p>
      <w:pPr>
        <w:pStyle w:val="Compact"/>
        <w:numPr>
          <w:ilvl w:val="0"/>
          <w:numId w:val="1001"/>
        </w:numPr>
      </w:pPr>
      <w:r>
        <w:t xml:space="preserve">The number that was too good to be true</w:t>
      </w:r>
    </w:p>
    <w:p>
      <w:pPr>
        <w:pStyle w:val="Compact"/>
        <w:numPr>
          <w:ilvl w:val="0"/>
          <w:numId w:val="1001"/>
        </w:numPr>
      </w:pPr>
      <w:r>
        <w:t xml:space="preserve">What I actually found</w:t>
      </w:r>
    </w:p>
    <w:p>
      <w:pPr>
        <w:pStyle w:val="Compact"/>
        <w:numPr>
          <w:ilvl w:val="0"/>
          <w:numId w:val="1001"/>
        </w:numPr>
      </w:pPr>
      <w:r>
        <w:t xml:space="preserve">What it means, and what it does not</w:t>
      </w:r>
    </w:p>
    <w:p>
      <w:pPr>
        <w:pStyle w:val="Compact"/>
        <w:numPr>
          <w:ilvl w:val="0"/>
          <w:numId w:val="1001"/>
        </w:numPr>
      </w:pPr>
      <w:r>
        <w:t xml:space="preserve">The ethics of a system that recognises you</w:t>
      </w:r>
    </w:p>
    <w:p>
      <w:pPr>
        <w:pStyle w:val="Compact"/>
        <w:numPr>
          <w:ilvl w:val="0"/>
          <w:numId w:val="1001"/>
        </w:numPr>
      </w:pPr>
      <w:r>
        <w:t xml:space="preserve">What I got wrong, and what I would change</w:t>
      </w:r>
    </w:p>
    <w:p>
      <w:pPr>
        <w:pStyle w:val="Compact"/>
        <w:numPr>
          <w:ilvl w:val="0"/>
          <w:numId w:val="1001"/>
        </w:numPr>
      </w:pPr>
      <w:r>
        <w:t xml:space="preserve">Acknowledgements · AI use · References · Appendices</w:t>
      </w:r>
    </w:p>
    <w:p>
      <w:r>
        <w:pict>
          <v:rect style="width:0;height:1.5pt" o:hralign="center" o:hrstd="t" o:hr="t"/>
        </w:pict>
      </w:r>
    </w:p>
    <w:bookmarkEnd w:id="11"/>
    <w:bookmarkStart w:id="12" w:name="a-password-that-defended-nothing"/>
    <w:p>
      <w:pPr>
        <w:pStyle w:val="Heading2"/>
      </w:pPr>
      <w:r>
        <w:t xml:space="preserve">1. A password that defended nothing</w:t>
      </w:r>
    </w:p>
    <w:p>
      <w:pPr>
        <w:pStyle w:val="FirstParagraph"/>
      </w:pPr>
      <w:r>
        <w:t xml:space="preserve">Someone broke into an account I cared about using a stolen password, and the system raised no alarm —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observed</w:t>
      </w:r>
      <w:r>
        <w:t xml:space="preserve"> </w:t>
      </w:r>
      <w:r>
        <w:rPr>
          <w:i/>
          <w:iCs/>
        </w:rPr>
        <w:t xml:space="preserve">how</w:t>
      </w:r>
      <w:r>
        <w:t xml:space="preserve"> </w:t>
      </w:r>
      <w:r>
        <w:t xml:space="preserve">they already type? Typing has a rhythm. The small pauses, the keys held a fraction longer than others, the slight hesitation before a capital — it is as personal as an accent, and it arises from motor habits that are hard to fake deliberately. The idea is old: a century ago, telegraph operators could recognise one another by the rhythm of their tapping. What is new is that computers have only recently become capable of doing this from</w:t>
      </w:r>
      <w:r>
        <w:t xml:space="preserve"> </w:t>
      </w:r>
      <w:r>
        <w:rPr>
          <w:i/>
          <w:iCs/>
        </w:rPr>
        <w:t xml:space="preserve">anything</w:t>
      </w:r>
      <w:r>
        <w:t xml:space="preserve"> </w:t>
      </w:r>
      <w:r>
        <w:t xml:space="preserve">a person types, rather than one memorised phrase.</w:t>
      </w:r>
    </w:p>
    <w:p>
      <w:pPr>
        <w:pStyle w:val="BodyText"/>
      </w:pPr>
      <w:r>
        <w:t xml:space="preserve">That’s the whole project in a sentence:</w:t>
      </w:r>
    </w:p>
    <w:p>
      <w:pPr>
        <w:pStyle w:val="BlockText"/>
      </w:pPr>
      <w:r>
        <w:rPr>
          <w:b/>
          <w:bCs/>
        </w:rPr>
        <w:t xml:space="preserve">Can a computer tell it’s really you from your typing rhythm alone — and how close can it get to the best published result?</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w:t>
      </w:r>
      <w:r>
        <w:t xml:space="preserve">— never</w:t>
      </w:r>
      <w:r>
        <w:t xml:space="preserve"> </w:t>
      </w:r>
      <w:r>
        <w:t xml:space="preserve">“let them in”</w:t>
      </w:r>
      <w:r>
        <w:t xml:space="preserve"> </w:t>
      </w:r>
      <w:r>
        <w:t xml:space="preserve">— on any breakage.</w:t>
      </w:r>
    </w:p>
    <w:p>
      <w:pPr>
        <w:pStyle w:val="FirstParagraph"/>
      </w:pPr>
      <w:r>
        <w:t xml:space="preserve">(I return to these five objectives at the end and assess each one honestly — §5 and §8.)</w:t>
      </w:r>
    </w:p>
    <w:p>
      <w:pPr>
        <w:pStyle w:val="BodyText"/>
      </w:pPr>
      <w:r>
        <w:rPr>
          <w:b/>
          <w:bCs/>
        </w:rPr>
        <w:t xml:space="preserve">How the project ran.</w:t>
      </w:r>
      <w:r>
        <w:t xml:space="preserve"> </w:t>
      </w:r>
      <w:r>
        <w:t xml:space="preserve">The work ran in four stages across seven months, about 84 hours in total. The dates come from the project’s commit history, not from memory.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r>
      <w:tr>
        <w:tc>
          <w:tcPr/>
          <w:p>
            <w:pPr>
              <w:pStyle w:val="Compact"/>
            </w:pPr>
            <w:r>
              <w:t xml:space="preserve">Typing app and keystroke capture</w:t>
            </w:r>
          </w:p>
        </w:tc>
        <w:tc>
          <w:tcPr/>
          <w:p>
            <w:pPr>
              <w:pStyle w:val="Compact"/>
            </w:pPr>
            <w:r>
              <w:t xml:space="preserve">Nov–Dec 2025</w:t>
            </w:r>
          </w:p>
        </w:tc>
        <w:tc>
          <w:tcPr/>
          <w:p>
            <w:pPr>
              <w:pStyle w:val="Compact"/>
            </w:pPr>
            <w:r>
              <w:t xml:space="preserve">Nov–Dec 2025</w:t>
            </w:r>
          </w:p>
        </w:tc>
      </w:tr>
      <w:tr>
        <w:tc>
          <w:tcPr/>
          <w:p>
            <w:pPr>
              <w:pStyle w:val="Compact"/>
            </w:pPr>
            <w:r>
              <w:t xml:space="preserve">Accounts and the first recognisers</w:t>
            </w:r>
          </w:p>
        </w:tc>
        <w:tc>
          <w:tcPr/>
          <w:p>
            <w:pPr>
              <w:pStyle w:val="Compact"/>
            </w:pPr>
            <w:r>
              <w:t xml:space="preserve">Jan–Feb 2026</w:t>
            </w:r>
          </w:p>
        </w:tc>
        <w:tc>
          <w:tcPr/>
          <w:p>
            <w:pPr>
              <w:pStyle w:val="Compact"/>
            </w:pPr>
            <w:r>
              <w:t xml:space="preserve">Feb–Mar 2026</w:t>
            </w:r>
          </w:p>
        </w:tc>
      </w:tr>
      <w:tr>
        <w:tc>
          <w:tcPr/>
          <w:p>
            <w:pPr>
              <w:pStyle w:val="Compact"/>
            </w:pPr>
            <w:r>
              <w:t xml:space="preserve">Deep-learning rebuild and open-set test</w:t>
            </w:r>
          </w:p>
        </w:tc>
        <w:tc>
          <w:tcPr/>
          <w:p>
            <w:pPr>
              <w:pStyle w:val="Compact"/>
            </w:pPr>
            <w:r>
              <w:t xml:space="preserve">Mar–Apr 2026</w:t>
            </w:r>
          </w:p>
        </w:tc>
        <w:tc>
          <w:tcPr/>
          <w:p>
            <w:pPr>
              <w:pStyle w:val="Compact"/>
            </w:pPr>
            <w:r>
              <w:t xml:space="preserve">Jun 2026</w:t>
            </w:r>
          </w:p>
        </w:tc>
      </w:tr>
      <w:tr>
        <w:tc>
          <w:tcPr/>
          <w:p>
            <w:pPr>
              <w:pStyle w:val="Compact"/>
            </w:pPr>
            <w:r>
              <w:t xml:space="preserve">Analysis and write-up</w:t>
            </w:r>
          </w:p>
        </w:tc>
        <w:tc>
          <w:tcPr/>
          <w:p>
            <w:pPr>
              <w:pStyle w:val="Compact"/>
            </w:pPr>
            <w:r>
              <w:t xml:space="preserve">May 2026</w:t>
            </w:r>
          </w:p>
        </w:tc>
        <w:tc>
          <w:tcPr/>
          <w:p>
            <w:pPr>
              <w:pStyle w:val="Compact"/>
            </w:pPr>
            <w:r>
              <w:t xml:space="preserve">Jun–Jul 2026</w:t>
            </w:r>
          </w:p>
        </w:tc>
      </w:tr>
    </w:tbl>
    <w:p>
      <w:pPr>
        <w:pStyle w:val="BodyText"/>
      </w:pPr>
      <w:r>
        <w:t xml:space="preserve">Two things slipped, both worth stating plainly. An eight-week exam pause over April and May stopped all work, so I settled every research decision on paper beforehand and ran the rebuild as one concentrated sprint in June. Then, midway through that sprint, I found the evaluation was flawed and had to rebuild it (§4), which meant re-running every figure that followed.</w:t>
      </w:r>
    </w:p>
    <w:bookmarkEnd w:id="12"/>
    <w:bookmarkStart w:id="13" w:name="you-type-like-nobody-else"/>
    <w:p>
      <w:pPr>
        <w:pStyle w:val="Heading2"/>
      </w:pPr>
      <w:r>
        <w:t xml:space="preserve">2. You type like nobody else</w:t>
      </w:r>
    </w:p>
    <w:p>
      <w:pPr>
        <w:pStyle w:val="FirstParagraph"/>
      </w:pPr>
      <w:r>
        <w:t xml:space="preserve">Recognising someone by their typing is a</w:t>
      </w:r>
      <w:r>
        <w:t xml:space="preserve"> </w:t>
      </w:r>
      <w:r>
        <w:rPr>
          <w:i/>
          <w:iCs/>
        </w:rPr>
        <w:t xml:space="preserve">behavioural</w:t>
      </w:r>
      <w:r>
        <w:t xml:space="preserve"> </w:t>
      </w:r>
      <w:r>
        <w:t xml:space="preserve">biometric — it concerns how a person acts, like a signature or a gait, rather than what their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must be read without relying on the words. Genuine, always-on security needs the hard version — and this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of that same promise. I worked on the easier version — the one with a clean, public benchmark to measure against — while building the machinery the harder version would later require.</w:t>
      </w:r>
    </w:p>
    <w:p>
      <w:pPr>
        <w:pStyle w:val="BodyText"/>
      </w:pPr>
      <w:r>
        <w:t xml:space="preserve">How, then, should such a system be scored? Any such system makes two opposite errors: it can admit an impostor, or reject the genuine user. The two trade off — tighten the system to catch more impostors and it begins to reject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notable point is that they never actually meet. In 2009, Killourhy and Maxion built the exact dataset I use — 51 people each typing the password</w:t>
      </w:r>
      <w:r>
        <w:t xml:space="preserve"> </w:t>
      </w:r>
      <w:r>
        <w:rPr>
          <w:rStyle w:val="VerbatimChar"/>
        </w:rPr>
        <w:t xml:space="preserve">.tie5Roanl</w:t>
      </w:r>
      <w:r>
        <w:t xml:space="preserve"> </w:t>
      </w:r>
      <w:r>
        <w:t xml:space="preserve">400 times —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precisely that journey, from hand-built statistical detectors in the 2000s to deep learned representations in the 2020s. What no one had examined is the crossing point between the two: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 does it beat the older hand-built method on its own ground, tested fairly on strangers? That un-examined question, in the gap between the two worlds, is where a student with a laptop can contribute.</w:t>
      </w:r>
    </w:p>
    <w:bookmarkEnd w:id="13"/>
    <w:bookmarkStart w:id="14" w:name="building-a-typing-fingerprint"/>
    <w:p>
      <w:pPr>
        <w:pStyle w:val="Heading2"/>
      </w:pPr>
      <w:r>
        <w:t xml:space="preserve">3. Building a typing fingerprint</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 compare each new sample against a hand-built statistical profile of the user. Simple, well understood, and the basis of the 2009 benchmark — but tied to one fixed phrase, and dependent on a human to decide which features matter.</w:t>
      </w:r>
    </w:p>
    <w:p>
      <w:pPr>
        <w:pStyle w:val="Compact"/>
        <w:numPr>
          <w:ilvl w:val="0"/>
          <w:numId w:val="1003"/>
        </w:numPr>
      </w:pPr>
      <w:r>
        <w:rPr>
          <w:b/>
          <w:bCs/>
        </w:rPr>
        <w:t xml:space="preserve">A standard classifier</w:t>
      </w:r>
      <w:r>
        <w:t xml:space="preserve"> </w:t>
      </w:r>
      <w:r>
        <w:t xml:space="preserve">— train a network to sort typing into</w:t>
      </w:r>
      <w:r>
        <w:t xml:space="preserve"> </w:t>
      </w:r>
      <w:r>
        <w:t xml:space="preserve">“user 1, user 2, …”</w:t>
      </w:r>
      <w:r>
        <w:t xml:space="preserve">. Accurate, but it would have to be retrained from scratch every time a new user registers —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 build one statistical profile</w:t>
            </w:r>
          </w:p>
        </w:tc>
        <w:tc>
          <w:tcPr/>
          <w:p>
            <w:pPr>
              <w:pStyle w:val="Compact"/>
            </w:pPr>
            <w:r>
              <w:rPr>
                <w:b/>
                <w:bCs/>
              </w:rPr>
              <w:t xml:space="preserve">Yes</w:t>
            </w:r>
            <w:r>
              <w:t xml:space="preserve"> </w:t>
            </w:r>
            <w:r>
              <w:t xml:space="preserve">— phrase-locked</w:t>
            </w:r>
          </w:p>
        </w:tc>
        <w:tc>
          <w:tcPr/>
          <w:p>
            <w:pPr>
              <w:pStyle w:val="Compact"/>
            </w:pPr>
            <w:r>
              <w:t xml:space="preserve">Yes</w:t>
            </w:r>
          </w:p>
        </w:tc>
        <w:tc>
          <w:tcPr/>
          <w:p>
            <w:pPr>
              <w:pStyle w:val="Compact"/>
            </w:pPr>
            <w:r>
              <w:t xml:space="preserve">A human must hand-pick the features; can’t extend to free typing</w:t>
            </w:r>
          </w:p>
        </w:tc>
      </w:tr>
      <w:tr>
        <w:tc>
          <w:tcPr/>
          <w:p>
            <w:pPr>
              <w:pStyle w:val="Compact"/>
            </w:pPr>
            <w:r>
              <w:t xml:space="preserve">Standard classifier</w:t>
            </w:r>
          </w:p>
        </w:tc>
        <w:tc>
          <w:tcPr/>
          <w:p>
            <w:pPr>
              <w:pStyle w:val="Compact"/>
            </w:pPr>
            <w:r>
              <w:rPr>
                <w:b/>
                <w:bCs/>
              </w:rPr>
              <w:t xml:space="preserve">Ruinous</w:t>
            </w:r>
            <w:r>
              <w:t xml:space="preserve"> </w:t>
            </w:r>
            <w:r>
              <w:t xml:space="preserve">— retrain the whole network every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 record ~12 of their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 a network cannot be retrained every time someone registers — which ruled it out despite being the most accurate on paper. Of the other two, the learned fingerprint wins on phrase-independence and on adapting to future needs, so I chose it and placed the first approach on top: the old, trusted statistics run</w:t>
      </w:r>
      <w:r>
        <w:t xml:space="preserve"> </w:t>
      </w:r>
      <w:r>
        <w:rPr>
          <w:i/>
          <w:iCs/>
        </w:rPr>
        <w:t xml:space="preserve">inside</w:t>
      </w:r>
      <w:r>
        <w:t xml:space="preserve"> </w:t>
      </w:r>
      <w:r>
        <w:t xml:space="preserve">the learned space. That hybrid — classical statistics on a learned fingerprint —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 the point’s position. The training uses the same method as face recognition: I present two samples from the same person and one from another, repeatedly, and adjust the network to draw the matching pair together and push the third away. Repeated hundreds of thousands of times, the clustering emerges on its own. (The exact network and settings are in Appendix C. It is small — it trains on a laptop in about 23 minutes and fingerprints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 no retraining — and set a personal threshold according to how consistent they are.</w:t>
      </w:r>
    </w:p>
    <w:p>
      <w:pPr>
        <w:pStyle w:val="BodyText"/>
      </w:pPr>
      <w:r>
        <w:t xml:space="preserve">Finally, I integrated it into a working application: the user consents, types a few times to enrol, and is verified on a new sample. If anything fails — the service is down, or the model is the wrong version —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The deployed system therefore does rank impostors below the real user. It also failed on its first run, in a revealing way — which I return to below.</w:t>
      </w:r>
    </w:p>
    <w:bookmarkEnd w:id="14"/>
    <w:bookmarkStart w:id="15" w:name="the-number-that-was-too-good-to-be-true"/>
    <w:p>
      <w:pPr>
        <w:pStyle w:val="Heading2"/>
      </w:pPr>
      <w:r>
        <w:t xml:space="preserve">4. The number that was too good to be true</w:t>
      </w:r>
    </w:p>
    <w:p>
      <w:pPr>
        <w:pStyle w:val="FirstParagraph"/>
      </w:pPr>
      <w:r>
        <w:t xml:space="preserve">My first result looked excellent, and I was genuinely pleased with it. Then I re-read my own code and realised what had happened: the network had trained on</w:t>
      </w:r>
      <w:r>
        <w:t xml:space="preserve"> </w:t>
      </w:r>
      <w:r>
        <w:rPr>
          <w:i/>
          <w:iCs/>
        </w:rPr>
        <w:t xml:space="preserve">all</w:t>
      </w:r>
      <w:r>
        <w:t xml:space="preserve"> </w:t>
      </w:r>
      <w:r>
        <w:t xml:space="preserve">51 people — including the very ones I was then testing it on. I had been grading it on people it had already studied.</w:t>
      </w:r>
    </w:p>
    <w:p>
      <w:pPr>
        <w:pStyle w:val="BodyText"/>
      </w:pPr>
      <w:r>
        <w:t xml:space="preserve">It is one of the oldest mistakes in machine learning, and the analogy is exact: giving a student the exam questions the night before, then being impressed when they pass. The number was not a deliberate deception; the code had quietly produced a flattering result, and I had been willing to accept it. That was the point at which the project became science — the point at which I began treating a good result as something to</w:t>
      </w:r>
      <w:r>
        <w:t xml:space="preserve"> </w:t>
      </w:r>
      <w:r>
        <w:rPr>
          <w:i/>
          <w:iCs/>
        </w:rPr>
        <w:t xml:space="preserve">attack</w:t>
      </w:r>
      <w:r>
        <w:t xml:space="preserve"> </w:t>
      </w:r>
      <w:r>
        <w:t xml:space="preserve">rather than to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 and the useful bugs were never the ones a test caught, but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caused a later calculation to overflow — something none of my test data, which was artificially varied, could have triggered. Only a real person did. On the first day, the real data file trained on all-zero timings, because its columns were named differently from my test fixture and my code read straight past them, reporting a plausible number throughout. And for a time,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 and correctly wiring it into the evaluation is the source of the 10.2% figure. A method you have not measured is not a method; it is a hope. (The full log of thirteen fixes is in the project repository.)</w:t>
      </w:r>
    </w:p>
    <w:bookmarkEnd w:id="15"/>
    <w:bookmarkStart w:id="16" w:name="what-i-actually-found"/>
    <w:p>
      <w:pPr>
        <w:pStyle w:val="Heading2"/>
      </w:pPr>
      <w:r>
        <w:t xml:space="preserve">5. What I actually found</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w:t>
            </w:r>
          </w:p>
        </w:tc>
      </w:tr>
    </w:tbl>
    <w:p>
      <w:pPr>
        <w:pStyle w:val="BodyText"/>
      </w:pPr>
      <w:r>
        <w:t xml:space="preserve">In plain terms: it works — it recognises strangers far better than chance, live and end to end. But on this small, fixed-password test it does</w:t>
      </w:r>
      <w:r>
        <w:t xml:space="preserve"> </w:t>
      </w:r>
      <w:r>
        <w:rPr>
          <w:i/>
          <w:iCs/>
        </w:rPr>
        <w:t xml:space="preserve">not</w:t>
      </w:r>
      <w:r>
        <w:t xml:space="preserve"> </w:t>
      </w:r>
      <w:r>
        <w:t xml:space="preserve">beat the 2009 hand-built method: 14.2% against 9.6%. An honest near-miss, not a success.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merely more accurate than the simple one (14.2%) —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On investigation, that steadiness comes almost entirely from one of the three distance measures (the more sophisticated one) — a specific finding, not a vague impression, and one that points to a straightforward future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not the average at all — it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those whose own typing is so inconsistent that it overlaps with everyone else’s. The real ceiling here, then, is not the model — it is how little identifying information an 11-key password contains.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corresponds to the hard-to-recognise group. The picture and the numbers agree. And when I tried to improve matters — more training, more samples per person — nothing helped, and the model’s internal measure showed that it had already learned everything the short password</w:t>
      </w:r>
      <w:r>
        <w:t xml:space="preserve"> </w:t>
      </w:r>
      <w:r>
        <w:rPr>
          <w:i/>
          <w:iCs/>
        </w:rPr>
        <w:t xml:space="preserve">can</w:t>
      </w:r>
      <w:r>
        <w:t xml:space="preserve"> </w:t>
      </w:r>
      <w:r>
        <w:t xml:space="preserve">teach. More effort cannot extract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 to beat the best published result. I came close, honestly, and fell short. That shortfall is the finding, not a footnote to it.</w:t>
      </w:r>
    </w:p>
    <w:bookmarkEnd w:id="16"/>
    <w:bookmarkStart w:id="17" w:name="what-it-means-and-what-it-does-not"/>
    <w:p>
      <w:pPr>
        <w:pStyle w:val="Heading2"/>
      </w:pPr>
      <w:r>
        <w:t xml:space="preserve">6. What it means, and what it does not</w:t>
      </w:r>
    </w:p>
    <w:p>
      <w:pPr>
        <w:pStyle w:val="FirstParagraph"/>
      </w:pPr>
      <w:r>
        <w:t xml:space="preserve">So, does typing rhythm prove who you are? In part, and honestly so. It works well enough to serve as a useful</w:t>
      </w:r>
      <w:r>
        <w:t xml:space="preserve"> </w:t>
      </w:r>
      <w:r>
        <w:rPr>
          <w:i/>
          <w:iCs/>
        </w:rPr>
        <w:t xml:space="preserve">second</w:t>
      </w:r>
      <w:r>
        <w:t xml:space="preserve"> </w:t>
      </w:r>
      <w:r>
        <w:t xml:space="preserve">check behind a password — an attacker holding your stolen password must still type as you do, at no extra effort to you; run continuously, it could even detect that the person mid-session had changed. It does not beat a good hand-built method on small, fixed-text data. And the genuinely useful finding is narrower, and more interesting, than</w:t>
      </w:r>
      <w:r>
        <w:t xml:space="preserve"> </w:t>
      </w:r>
      <w:r>
        <w:t xml:space="preserve">“my model is good”</w:t>
      </w:r>
      <w:r>
        <w:t xml:space="preserve">: placing classical statistics on top of a learned fingerprint makes the decision</w:t>
      </w:r>
      <w:r>
        <w:t xml:space="preserve"> </w:t>
      </w:r>
      <w:r>
        <w:rPr>
          <w:i/>
          <w:iCs/>
        </w:rPr>
        <w:t xml:space="preserve">more stable</w:t>
      </w:r>
      <w:r>
        <w:t xml:space="preserve">, and I can identify exactly which component is responsible. The contribution here is not a new accuracy record — it is an honest, reproducible measurement that a classical verifier run</w:t>
      </w:r>
      <w:r>
        <w:t xml:space="preserve"> </w:t>
      </w:r>
      <w:r>
        <w:rPr>
          <w:i/>
          <w:iCs/>
        </w:rPr>
        <w:t xml:space="preserve">inside</w:t>
      </w:r>
      <w:r>
        <w:t xml:space="preserve"> </w:t>
      </w:r>
      <w:r>
        <w:t xml:space="preserve">a learned fingerprint is steadier than either half alone, with the single component responsible identified and every failure mode recorded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 but that 2.2% is bought with internet-scale data I simply do not have. I also tested my design against a Transformer, the architecture behind most of today’s best-known AI models, under identical conditions; it performed clearly worse, and less reliably (19.8%). On data this small, the built-in assumptions of my simpler design about timing and sequence outperform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 the free-typing version is built, but not yet measured on a large corpus. And the confidence</w:t>
      </w:r>
      <w:r>
        <w:t xml:space="preserve"> </w:t>
      </w:r>
      <w:r>
        <w:rPr>
          <w:i/>
          <w:iCs/>
        </w:rPr>
        <w:t xml:space="preserve">percentage</w:t>
      </w:r>
      <w:r>
        <w:t xml:space="preserve"> </w:t>
      </w:r>
      <w:r>
        <w:t xml:space="preserve">the product displays is not yet calibrated, although the accept-or-reject ordering is sound. None of this makes the result wrong; all of it is a reason not to overstate it.</w:t>
      </w:r>
    </w:p>
    <w:bookmarkEnd w:id="17"/>
    <w:bookmarkStart w:id="18" w:name="Xaee72fcb310ba5c6a136a661c28f15821ce38a0"/>
    <w:p>
      <w:pPr>
        <w:pStyle w:val="Heading2"/>
      </w:pPr>
      <w:r>
        <w:t xml:space="preserve">7. The ethics of a system that recognises you</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 which shaped every decision below.</w:t>
      </w:r>
    </w:p>
    <w:p>
      <w:pPr>
        <w:pStyle w:val="Compact"/>
        <w:numPr>
          <w:ilvl w:val="0"/>
          <w:numId w:val="1004"/>
        </w:numPr>
      </w:pPr>
      <w:r>
        <w:rPr>
          <w:b/>
          <w:bCs/>
        </w:rPr>
        <w:t xml:space="preserve">I used public, anonymous data —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 that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what-i-got-wrong-and-what-i-would-change"/>
    <w:p>
      <w:pPr>
        <w:pStyle w:val="Heading2"/>
      </w:pPr>
      <w:r>
        <w:t xml:space="preserve">8. What I got wrong, and what I would change</w:t>
      </w:r>
    </w:p>
    <w:p>
      <w:pPr>
        <w:pStyle w:val="FirstParagraph"/>
      </w:pPr>
      <w:r>
        <w:t xml:space="preserve">The single most important thing I learned was not a technique — it was to distrust my own results. My first evaluation produced a number I was delighted with, and it was worthless (§4). Recognising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conceals the trade-off that actually matters.</w:t>
      </w:r>
    </w:p>
    <w:p>
      <w:pPr>
        <w:pStyle w:val="BodyText"/>
      </w:pPr>
      <w:r>
        <w:t xml:space="preserve">Working without a mentor had both costs and benefits. Every check on my work was one I carried out myself, which is probably why I eventually caught the flaw — I had learned to doubt my own code. But it is also precisely where working alone was a disadvantage: there was no one to look over my shoulder and ask whether those were my own training subjects. I made the mistake, and for a time I was the only person who could have caught it — and I did not. So if I were to do it again, I would write the entire evaluation procedure down</w:t>
      </w:r>
      <w:r>
        <w:t xml:space="preserve"> </w:t>
      </w:r>
      <w:r>
        <w:rPr>
          <w:i/>
          <w:iCs/>
        </w:rPr>
        <w:t xml:space="preserve">before</w:t>
      </w:r>
      <w:r>
        <w:t xml:space="preserve"> </w:t>
      </w:r>
      <w:r>
        <w:t xml:space="preserve">writing any of the code for it — on paper, the leak would have been obvious — and I would find one person permitted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 with the §7 safeguards built in from the outset.</w:t>
      </w:r>
    </w:p>
    <w:p>
      <w:pPr>
        <w:pStyle w:val="FirstParagraph"/>
      </w:pPr>
      <w:r>
        <w:t xml:space="preserve">I set out to determine, honestly, whether the way a person types could serve as a quiet second lock on their identity. It can — not a perfect one, and not yet better than a fifteen-year-old benchmark on a test this small, but a real one, measured and reproducible, built by someone who learned, the hard way, to stop trusting his own good news.</w:t>
      </w:r>
    </w:p>
    <w:p>
      <w:r>
        <w:pict>
          <v:rect style="width:0;height:1.5pt" o:hralign="center" o:hrstd="t" o:hr="t"/>
        </w:pic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 Glossary</w:t>
      </w:r>
    </w:p>
    <w:p>
      <w:pPr>
        <w:pStyle w:val="Compact"/>
        <w:numPr>
          <w:ilvl w:val="0"/>
          <w:numId w:val="1007"/>
        </w:numPr>
      </w:pPr>
      <w:r>
        <w:rPr>
          <w:b/>
          <w:bCs/>
        </w:rPr>
        <w:t xml:space="preserve">Biometric</w:t>
      </w:r>
      <w:r>
        <w:t xml:space="preserve"> </w:t>
      </w:r>
      <w:r>
        <w:t xml:space="preserve">— 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 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 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 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 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 the right thing when you’re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 the same-person sample that landed farthest away and the different-person sample that landed closest —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 not the pooled-score EER, which mixes subjects with different score scales (pooled, seed 42: 16.1%). Two scorers (scaled-Manhattan headline; full ensemble secondary), never cross-compared. Seeds 42/43/44 for the headline; 14 seeds for the ensemble-vs-primary comparison —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 one global threshold, so these are</w:t>
      </w:r>
      <w:r>
        <w:t xml:space="preserve"> </w:t>
      </w:r>
      <w:r>
        <w:rPr>
          <w:i/>
          <w:iCs/>
        </w:rPr>
        <w:t xml:space="preserve">more pessimistic</w:t>
      </w:r>
      <w:r>
        <w:t xml:space="preserve"> </w:t>
      </w:r>
      <w:r>
        <w:t xml:space="preserve">than the per-user thresholds actually deployed —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2026-07-03T15:02:16Z</dcterms:created>
  <dcterms:modified xsi:type="dcterms:W3CDTF">2026-07-03T15:02:16Z</dcterms:modified>
</cp:coreProperties>
</file>

<file path=docProps/custom.xml><?xml version="1.0" encoding="utf-8"?>
<Properties xmlns="http://schemas.openxmlformats.org/officeDocument/2006/custom-properties" xmlns:vt="http://schemas.openxmlformats.org/officeDocument/2006/docPropsVTypes"/>
</file>