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Learning &amp; Explainable AI Research Report (2026)</w:t>
      </w:r>
    </w:p>
    <w:p>
      <w:pPr>
        <w:pStyle w:val="Heading1"/>
      </w:pPr>
      <w:r>
        <w:t>1. Executive Abstract</w:t>
      </w:r>
    </w:p>
    <w:p>
      <w:r>
        <w:t>This research investigates the integration of Retrieval-Augmented Generation (RAG) with Explainable AI (XAI) confidence calibration. Traditional LLMs operate as black-box engines, whereas DocuExplain AI provides mathematical confidence metrics, exact source citations, and evidence span alignment.</w:t>
      </w:r>
    </w:p>
    <w:p>
      <w:pPr>
        <w:pStyle w:val="Heading1"/>
      </w:pPr>
      <w:r>
        <w:t>2. Evaluation Benchmarks &amp; Milestone Deadlines</w:t>
      </w:r>
    </w:p>
    <w:p>
      <w:r>
        <w:t>The project deadline for submission is August 15, 2026. The Viva Voce defense examination is scheduled for August 25, 2026. The evaluation criteria assigns 40% weightage to Explainable AI transparency, 30% to retrieval performance, 20% to UX design, and 10% to code security.</w:t>
      </w:r>
    </w:p>
    <w:p>
      <w:pPr>
        <w:pStyle w:val="Heading1"/>
      </w:pPr>
      <w:r>
        <w:t>3. Multi-Format Ingestion Strategy</w:t>
      </w:r>
    </w:p>
    <w:p>
      <w:r>
        <w:t>The system natively ingests PDF, Microsoft Word DOCX, PowerPoint PPTX, and plain text files. Each document undergoes a 7-stage processing lifecycle: Uploading -&gt; Text Extraction -&gt; Cleaning -&gt; Semantic Chunking -&gt; Embeddings Generation -&gt; Vector Indexing -&gt;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