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Three-node vs. Five-node Replay Analysis (2025-10-13)</w:t>
      </w:r>
    </w:p>
    <w:p>
      <w:r>
        <w:t>This document summarizes the latest replay outputs generated on 2025-10-13. Metrics were taken from the following folders:</w:t>
      </w:r>
    </w:p>
    <w:p>
      <w:r>
        <w:t xml:space="preserve"> • scenarios/paper_3node/reports/replay/three_node_run_2025-10-13_004215</w:t>
      </w:r>
    </w:p>
    <w:p>
      <w:r>
        <w:t xml:space="preserve"> • scenarios/realistic_5node/reports/replay/five_node_run_2025-10-13_022635</w:t>
      </w:r>
    </w:p>
    <w:p>
      <w:r>
        <w:t>Aggregated statistics were recomputed into reports/replay/summary_three_vs_five_nodes_latest.csv, and supporting Excel exports reside in reports/replay/.</w:t>
      </w:r>
    </w:p>
    <w:p>
      <w:pPr>
        <w:pStyle w:val="Heading2"/>
      </w:pPr>
      <w:r>
        <w:t>Headline Results</w:t>
      </w:r>
    </w:p>
    <w:p>
      <w:r>
        <w:t>Three-node factorial workloads: automated weights averaged 0.130s (95th percentile 0.152s) versus 0.892s for the manual baseline.</w:t>
      </w:r>
    </w:p>
    <w:p>
      <w:r>
        <w:t>Three-node matrix workloads: the spread baseline led with 2.057s, ahead of automated weights (2.913s) and manual control (3.159s).</w:t>
      </w:r>
    </w:p>
    <w:p>
      <w:r>
        <w:t>Five-node factorial workloads: automated weights climbed to 0.466s (95th percentile 0.519s) yet remained faster than manual scheduling at 1.199s.</w:t>
      </w:r>
    </w:p>
    <w:p>
      <w:r>
        <w:t>Five-node matrix workloads: the spread baseline ballooned to 22.91s on average, while manual orchestration contained latency to 6.03s, highlighting network overhead in the larger cluster.</w:t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Strategy</w:t>
            </w:r>
          </w:p>
        </w:tc>
        <w:tc>
          <w:tcPr>
            <w:tcW w:type="dxa" w:w="1234"/>
          </w:tcPr>
          <w:p>
            <w:r>
              <w:t>Service</w:t>
            </w:r>
          </w:p>
        </w:tc>
        <w:tc>
          <w:tcPr>
            <w:tcW w:type="dxa" w:w="1234"/>
          </w:tcPr>
          <w:p>
            <w:r>
              <w:t>Samples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P95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0.519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1.199</w:t>
            </w:r>
          </w:p>
        </w:tc>
        <w:tc>
          <w:tcPr>
            <w:tcW w:type="dxa" w:w="1234"/>
          </w:tcPr>
          <w:p>
            <w:r>
              <w:t>0.957</w:t>
            </w:r>
          </w:p>
        </w:tc>
        <w:tc>
          <w:tcPr>
            <w:tcW w:type="dxa" w:w="1234"/>
          </w:tcPr>
          <w:p>
            <w:r>
              <w:t>2.545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6.034</w:t>
            </w:r>
          </w:p>
        </w:tc>
        <w:tc>
          <w:tcPr>
            <w:tcW w:type="dxa" w:w="1234"/>
          </w:tcPr>
          <w:p>
            <w:r>
              <w:t>4.813</w:t>
            </w:r>
          </w:p>
        </w:tc>
        <w:tc>
          <w:tcPr>
            <w:tcW w:type="dxa" w:w="1234"/>
          </w:tcPr>
          <w:p>
            <w:r>
              <w:t>15.898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1.909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5.641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22.914</w:t>
            </w:r>
          </w:p>
        </w:tc>
        <w:tc>
          <w:tcPr>
            <w:tcW w:type="dxa" w:w="1234"/>
          </w:tcPr>
          <w:p>
            <w:r>
              <w:t>9.663</w:t>
            </w:r>
          </w:p>
        </w:tc>
        <w:tc>
          <w:tcPr>
            <w:tcW w:type="dxa" w:w="1234"/>
          </w:tcPr>
          <w:p>
            <w:r>
              <w:t>79.071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2.913</w:t>
            </w:r>
          </w:p>
        </w:tc>
        <w:tc>
          <w:tcPr>
            <w:tcW w:type="dxa" w:w="1234"/>
          </w:tcPr>
          <w:p>
            <w:r>
              <w:t>2.580</w:t>
            </w:r>
          </w:p>
        </w:tc>
        <w:tc>
          <w:tcPr>
            <w:tcW w:type="dxa" w:w="1234"/>
          </w:tcPr>
          <w:p>
            <w:r>
              <w:t>4.298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0.884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3.159</w:t>
            </w:r>
          </w:p>
        </w:tc>
        <w:tc>
          <w:tcPr>
            <w:tcW w:type="dxa" w:w="1234"/>
          </w:tcPr>
          <w:p>
            <w:r>
              <w:t>3.015</w:t>
            </w:r>
          </w:p>
        </w:tc>
        <w:tc>
          <w:tcPr>
            <w:tcW w:type="dxa" w:w="1234"/>
          </w:tcPr>
          <w:p>
            <w:r>
              <w:t>4.016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1.039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2.151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2.057</w:t>
            </w:r>
          </w:p>
        </w:tc>
        <w:tc>
          <w:tcPr>
            <w:tcW w:type="dxa" w:w="1234"/>
          </w:tcPr>
          <w:p>
            <w:r>
              <w:t>1.706</w:t>
            </w:r>
          </w:p>
        </w:tc>
        <w:tc>
          <w:tcPr>
            <w:tcW w:type="dxa" w:w="1234"/>
          </w:tcPr>
          <w:p>
            <w:r>
              <w:t>3.099</w:t>
            </w:r>
          </w:p>
        </w:tc>
      </w:tr>
    </w:tbl>
    <w:p>
      <w:r>
        <w:t>See reports/replay/summary_three_vs_five_nodes_latest.csv for the full dataset including standard deviation values.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Automated weighting continues to excel on factorial workloads even when the cluster scales out.</w:t>
      </w:r>
    </w:p>
    <w:p>
      <w:pPr>
        <w:pStyle w:val="ListBullet"/>
      </w:pPr>
      <w:r>
        <w:t>Spread-based placement thrives for matrix jobs only when nodes reside in close proximity; the five-node topology amplifies migration costs.</w:t>
      </w:r>
    </w:p>
    <w:p>
      <w:pPr>
        <w:pStyle w:val="ListBullet"/>
      </w:pPr>
      <w:r>
        <w:t>Tail behavior (95th percentile) spikes in the larger cluster, so SLO-driven safeguards should account for higher variance.</w:t>
      </w:r>
    </w:p>
    <w:p>
      <w:pPr>
        <w:pStyle w:val="ListBullet"/>
      </w:pPr>
      <w:r>
        <w:t>Matrix data is unavailable for the five-node automated run; repeat the capture once Prometheus is confirmed healthy to complete the comparison.</w:t>
      </w:r>
    </w:p>
    <w:p>
      <w:pPr>
        <w:pStyle w:val="Heading2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duration_by_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Average duration by strategy and workload (reports/replay/strategies/three_vs_five_nodes/mean_duration_by_strategy.png)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duration_by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95th percentile duration by strategy and workload (reports/replay/strategies/three_vs_five_nodes/p95_duration_by_strategy.png)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distribution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Duration distribution across strategies and scenarios (reports/replay/strategies/three_vs_five_nodes/duration_distribution_boxplot.png)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weight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Automated weight comparison between scenarios (reports/replay/strategies/three_vs_five_nodes/auto_weights_comparison.png)</w:t>
      </w:r>
    </w:p>
    <w:p>
      <w:pPr>
        <w:pStyle w:val="Heading2"/>
      </w:pPr>
      <w:r>
        <w:t>Conclusion &amp; Next Actions</w:t>
      </w:r>
    </w:p>
    <w:p>
      <w:r>
        <w:t>Dynamic weights are a dependable default for CPU-heavy factorial services, but matrix pipelines on distributed clusters need bandwidth-aware placement or pinning. Next actions: restore automated matrix telemetry, evaluate anti-affinity rules, and retune the weight scheduler for heterogeneous topologies.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