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Comparison: Three-node vs. Five-node Clusters</w:t>
      </w:r>
    </w:p>
    <w:p>
      <w:r>
        <w:t>This report summarizes the replay results captured under two scenarios:</w:t>
      </w:r>
    </w:p>
    <w:p>
      <w:r>
        <w:t>1. scenarios/paper_3node/reports/replay/three_node_run_2025-10-13_004215</w:t>
      </w:r>
    </w:p>
    <w:p>
      <w:r>
        <w:t>2. scenarios/realistic_5node/reports/replay/five_node_run_2025-10-13_022635</w:t>
      </w:r>
    </w:p>
    <w:p>
      <w:r>
        <w:t>Supporting plots are available under reports/replay/strategies/three_vs_five_nodes/. Axis labels in those charts remain in Arabic because they were generated directly from the source data.</w:t>
      </w:r>
    </w:p>
    <w:p>
      <w:pPr>
        <w:pStyle w:val="Heading2"/>
      </w:pPr>
      <w:r>
        <w:t>Key Performance Highlights</w:t>
      </w:r>
    </w:p>
    <w:p>
      <w:r>
        <w:t>In the three-node cluster, the automated weighting strategy drove factorial workloads down to an average completion time of 0.130 seconds with a 95th percentile of 0.152 seconds, compared with 0.892 seconds for the manual baseline.</w:t>
      </w:r>
    </w:p>
    <w:p>
      <w:r>
        <w:t>Matrix workloads in the same cluster favored the spread baseline at 2.057 seconds on average, versus 2.913 for automated weights and 3.159 for manual control.</w:t>
      </w:r>
    </w:p>
    <w:p>
      <w:r>
        <w:t>Scaling to five nodes increased the automated factorial latency to 0.466 seconds (95th percentile 0.519), yet it still remained faster than the manual baseline at 1.199 seconds.</w:t>
      </w:r>
    </w:p>
    <w:p>
      <w:r>
        <w:t>Matrix workloads under the spread baseline ballooned to 22.91 seconds in the larger cluster, while manual orchestration held them to 6.03 seconds, underscoring the sensitivity of cross-node migrations.</w:t>
      </w:r>
    </w:p>
    <w:p>
      <w:pPr>
        <w:pStyle w:val="Heading2"/>
      </w:pPr>
      <w:r>
        <w:t>Aggregated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Strategy</w:t>
            </w:r>
          </w:p>
        </w:tc>
        <w:tc>
          <w:tcPr>
            <w:tcW w:type="dxa" w:w="1234"/>
          </w:tcPr>
          <w:p>
            <w:r>
              <w:t>Service type</w:t>
            </w:r>
          </w:p>
        </w:tc>
        <w:tc>
          <w:tcPr>
            <w:tcW w:type="dxa" w:w="1234"/>
          </w:tcPr>
          <w:p>
            <w:r>
              <w:t>Samples</w:t>
            </w:r>
          </w:p>
        </w:tc>
        <w:tc>
          <w:tcPr>
            <w:tcW w:type="dxa" w:w="1234"/>
          </w:tcPr>
          <w:p>
            <w:r>
              <w:t>Mean (s)</w:t>
            </w:r>
          </w:p>
        </w:tc>
        <w:tc>
          <w:tcPr>
            <w:tcW w:type="dxa" w:w="1234"/>
          </w:tcPr>
          <w:p>
            <w:r>
              <w:t>Median (s)</w:t>
            </w:r>
          </w:p>
        </w:tc>
        <w:tc>
          <w:tcPr>
            <w:tcW w:type="dxa" w:w="1234"/>
          </w:tcPr>
          <w:p>
            <w:r>
              <w:t>95th pct (s)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Automated weights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0.152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Automated weights</w:t>
            </w:r>
          </w:p>
        </w:tc>
        <w:tc>
          <w:tcPr>
            <w:tcW w:type="dxa" w:w="1234"/>
          </w:tcPr>
          <w:p>
            <w:r>
              <w:t>Matrix workloads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2.913</w:t>
            </w:r>
          </w:p>
        </w:tc>
        <w:tc>
          <w:tcPr>
            <w:tcW w:type="dxa" w:w="1234"/>
          </w:tcPr>
          <w:p>
            <w:r>
              <w:t>2.580</w:t>
            </w:r>
          </w:p>
        </w:tc>
        <w:tc>
          <w:tcPr>
            <w:tcW w:type="dxa" w:w="1234"/>
          </w:tcPr>
          <w:p>
            <w:r>
              <w:t>4.298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Spread baseline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1.039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2.151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Spread baseline</w:t>
            </w:r>
          </w:p>
        </w:tc>
        <w:tc>
          <w:tcPr>
            <w:tcW w:type="dxa" w:w="1234"/>
          </w:tcPr>
          <w:p>
            <w:r>
              <w:t>Matrix workloads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2.057</w:t>
            </w:r>
          </w:p>
        </w:tc>
        <w:tc>
          <w:tcPr>
            <w:tcW w:type="dxa" w:w="1234"/>
          </w:tcPr>
          <w:p>
            <w:r>
              <w:t>1.706</w:t>
            </w:r>
          </w:p>
        </w:tc>
        <w:tc>
          <w:tcPr>
            <w:tcW w:type="dxa" w:w="1234"/>
          </w:tcPr>
          <w:p>
            <w:r>
              <w:t>3.099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Manual baseline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0.892</w:t>
            </w:r>
          </w:p>
        </w:tc>
        <w:tc>
          <w:tcPr>
            <w:tcW w:type="dxa" w:w="1234"/>
          </w:tcPr>
          <w:p>
            <w:r>
              <w:t>0.884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  <w:tr>
        <w:tc>
          <w:tcPr>
            <w:tcW w:type="dxa" w:w="1234"/>
          </w:tcPr>
          <w:p>
            <w:r>
              <w:t>Three-node cluster</w:t>
            </w:r>
          </w:p>
        </w:tc>
        <w:tc>
          <w:tcPr>
            <w:tcW w:type="dxa" w:w="1234"/>
          </w:tcPr>
          <w:p>
            <w:r>
              <w:t>Manual baseline</w:t>
            </w:r>
          </w:p>
        </w:tc>
        <w:tc>
          <w:tcPr>
            <w:tcW w:type="dxa" w:w="1234"/>
          </w:tcPr>
          <w:p>
            <w:r>
              <w:t>Matrix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3.159</w:t>
            </w:r>
          </w:p>
        </w:tc>
        <w:tc>
          <w:tcPr>
            <w:tcW w:type="dxa" w:w="1234"/>
          </w:tcPr>
          <w:p>
            <w:r>
              <w:t>3.015</w:t>
            </w:r>
          </w:p>
        </w:tc>
        <w:tc>
          <w:tcPr>
            <w:tcW w:type="dxa" w:w="1234"/>
          </w:tcPr>
          <w:p>
            <w:r>
              <w:t>4.016</w:t>
            </w:r>
          </w:p>
        </w:tc>
      </w:tr>
      <w:tr>
        <w:tc>
          <w:tcPr>
            <w:tcW w:type="dxa" w:w="1234"/>
          </w:tcPr>
          <w:p>
            <w:r>
              <w:t>Five-node cluster</w:t>
            </w:r>
          </w:p>
        </w:tc>
        <w:tc>
          <w:tcPr>
            <w:tcW w:type="dxa" w:w="1234"/>
          </w:tcPr>
          <w:p>
            <w:r>
              <w:t>Automated weights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0.466</w:t>
            </w:r>
          </w:p>
        </w:tc>
        <w:tc>
          <w:tcPr>
            <w:tcW w:type="dxa" w:w="1234"/>
          </w:tcPr>
          <w:p>
            <w:r>
              <w:t>0.475</w:t>
            </w:r>
          </w:p>
        </w:tc>
        <w:tc>
          <w:tcPr>
            <w:tcW w:type="dxa" w:w="1234"/>
          </w:tcPr>
          <w:p>
            <w:r>
              <w:t>0.519</w:t>
            </w:r>
          </w:p>
        </w:tc>
      </w:tr>
      <w:tr>
        <w:tc>
          <w:tcPr>
            <w:tcW w:type="dxa" w:w="1234"/>
          </w:tcPr>
          <w:p>
            <w:r>
              <w:t>Five-node cluster</w:t>
            </w:r>
          </w:p>
        </w:tc>
        <w:tc>
          <w:tcPr>
            <w:tcW w:type="dxa" w:w="1234"/>
          </w:tcPr>
          <w:p>
            <w:r>
              <w:t>Spread baseline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1.909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5.641</w:t>
            </w:r>
          </w:p>
        </w:tc>
      </w:tr>
      <w:tr>
        <w:tc>
          <w:tcPr>
            <w:tcW w:type="dxa" w:w="1234"/>
          </w:tcPr>
          <w:p>
            <w:r>
              <w:t>Five-node cluster</w:t>
            </w:r>
          </w:p>
        </w:tc>
        <w:tc>
          <w:tcPr>
            <w:tcW w:type="dxa" w:w="1234"/>
          </w:tcPr>
          <w:p>
            <w:r>
              <w:t>Spread baseline</w:t>
            </w:r>
          </w:p>
        </w:tc>
        <w:tc>
          <w:tcPr>
            <w:tcW w:type="dxa" w:w="1234"/>
          </w:tcPr>
          <w:p>
            <w:r>
              <w:t>Matrix workloads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22.914</w:t>
            </w:r>
          </w:p>
        </w:tc>
        <w:tc>
          <w:tcPr>
            <w:tcW w:type="dxa" w:w="1234"/>
          </w:tcPr>
          <w:p>
            <w:r>
              <w:t>9.663</w:t>
            </w:r>
          </w:p>
        </w:tc>
        <w:tc>
          <w:tcPr>
            <w:tcW w:type="dxa" w:w="1234"/>
          </w:tcPr>
          <w:p>
            <w:r>
              <w:t>79.071</w:t>
            </w:r>
          </w:p>
        </w:tc>
      </w:tr>
      <w:tr>
        <w:tc>
          <w:tcPr>
            <w:tcW w:type="dxa" w:w="1234"/>
          </w:tcPr>
          <w:p>
            <w:r>
              <w:t>Five-node cluster</w:t>
            </w:r>
          </w:p>
        </w:tc>
        <w:tc>
          <w:tcPr>
            <w:tcW w:type="dxa" w:w="1234"/>
          </w:tcPr>
          <w:p>
            <w:r>
              <w:t>Manual baseline</w:t>
            </w:r>
          </w:p>
        </w:tc>
        <w:tc>
          <w:tcPr>
            <w:tcW w:type="dxa" w:w="1234"/>
          </w:tcPr>
          <w:p>
            <w:r>
              <w:t>Factorial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1.199</w:t>
            </w:r>
          </w:p>
        </w:tc>
        <w:tc>
          <w:tcPr>
            <w:tcW w:type="dxa" w:w="1234"/>
          </w:tcPr>
          <w:p>
            <w:r>
              <w:t>0.957</w:t>
            </w:r>
          </w:p>
        </w:tc>
        <w:tc>
          <w:tcPr>
            <w:tcW w:type="dxa" w:w="1234"/>
          </w:tcPr>
          <w:p>
            <w:r>
              <w:t>2.545</w:t>
            </w:r>
          </w:p>
        </w:tc>
      </w:tr>
      <w:tr>
        <w:tc>
          <w:tcPr>
            <w:tcW w:type="dxa" w:w="1234"/>
          </w:tcPr>
          <w:p>
            <w:r>
              <w:t>Five-node cluster</w:t>
            </w:r>
          </w:p>
        </w:tc>
        <w:tc>
          <w:tcPr>
            <w:tcW w:type="dxa" w:w="1234"/>
          </w:tcPr>
          <w:p>
            <w:r>
              <w:t>Manual baseline</w:t>
            </w:r>
          </w:p>
        </w:tc>
        <w:tc>
          <w:tcPr>
            <w:tcW w:type="dxa" w:w="1234"/>
          </w:tcPr>
          <w:p>
            <w:r>
              <w:t>Matrix workloads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6.034</w:t>
            </w:r>
          </w:p>
        </w:tc>
        <w:tc>
          <w:tcPr>
            <w:tcW w:type="dxa" w:w="1234"/>
          </w:tcPr>
          <w:p>
            <w:r>
              <w:t>4.813</w:t>
            </w:r>
          </w:p>
        </w:tc>
        <w:tc>
          <w:tcPr>
            <w:tcW w:type="dxa" w:w="1234"/>
          </w:tcPr>
          <w:p>
            <w:r>
              <w:t>15.898</w:t>
            </w:r>
          </w:p>
        </w:tc>
      </w:tr>
    </w:tbl>
    <w:p>
      <w:r>
        <w:t>Full statistics are archived in reports/replay/strategies/summary_three_vs_five_nodes.csv.</w:t>
      </w:r>
    </w:p>
    <w:p>
      <w:pPr>
        <w:pStyle w:val="Heading2"/>
      </w:pPr>
      <w:r>
        <w:t>Analytical Observations</w:t>
      </w:r>
    </w:p>
    <w:p>
      <w:pPr>
        <w:pStyle w:val="ListBullet"/>
      </w:pPr>
      <w:r>
        <w:t>Automated weighting consistently trims factorial latency even as the cluster grows, confirming the value of telemetry-driven scheduling.</w:t>
      </w:r>
    </w:p>
    <w:p>
      <w:pPr>
        <w:pStyle w:val="ListBullet"/>
      </w:pPr>
      <w:r>
        <w:t>Spread-based placement excels for matrix jobs only when nodes are co-located; wider clusters introduce network penalties that dominate runtime.</w:t>
      </w:r>
    </w:p>
    <w:p>
      <w:pPr>
        <w:pStyle w:val="ListBullet"/>
      </w:pPr>
      <w:r>
        <w:t>Variance and tail latency rise sharply in the five-node case, signalling greater sensitivity to resource contention and link jitter.</w:t>
      </w:r>
    </w:p>
    <w:p>
      <w:pPr>
        <w:pStyle w:val="ListBullet"/>
      </w:pPr>
      <w:r>
        <w:t>Matrix samples were not recorded for the automated strategy in the five-node replay, so the dataset should be refreshed after Prometheus is made fully available.</w:t>
      </w:r>
    </w:p>
    <w:p>
      <w:pPr>
        <w:pStyle w:val="Heading2"/>
      </w:pPr>
      <w:r>
        <w:t>Supporting Figures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duration_by_strate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Average duration by strategy and workload (reports/replay/strategies/three_vs_five_nodes/mean_duration_by_strategy.png)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duration_by_strate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95th percentile duration by strategy and workload (reports/replay/strategies/three_vs_five_nodes/p95_duration_by_strategy.png)</w:t>
      </w:r>
    </w:p>
    <w:p>
      <w:r>
        <w:drawing>
          <wp:inline xmlns:a="http://schemas.openxmlformats.org/drawingml/2006/main" xmlns:pic="http://schemas.openxmlformats.org/drawingml/2006/picture">
            <wp:extent cx="5029200" cy="2155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distribution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Duration distribution across strategies and scenarios (reports/replay/strategies/three_vs_five_nodes/duration_distribution_boxplot.png)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weight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Automated weight comparison between scenarios (reports/replay/strategies/three_vs_five_nodes/auto_weights_comparison.png)</w:t>
      </w:r>
    </w:p>
    <w:p>
      <w:pPr>
        <w:pStyle w:val="Heading2"/>
      </w:pPr>
      <w:r>
        <w:t>Conclusion and Next Steps</w:t>
      </w:r>
    </w:p>
    <w:p>
      <w:r>
        <w:t>Dynamic weighting remains a strong default for factorial workloads, but matrix-heavy pipelines require additional guardrails when the cluster spans multiple nodes. Plan to rerun the automated scenario once monitoring gaps are resolved, and investigate anti-affinity or bandwidth-aware policies to stabilize matrix runtimes in larger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