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تقرير الاستراتيجية اليدوية</w:t>
      </w:r>
    </w:p>
    <w:p>
      <w:r>
        <w:t>بإدخال الأوزان اليدوية (0.7 للمعالج و0.3 للذاكرة) حدّد المجدول العقدة node-02 كأفضل خيار، مما أدى إلى تثبيت غالبية الخدمات عليها.</w:t>
      </w:r>
    </w:p>
    <w:p>
      <w:pPr>
        <w:pStyle w:val="Heading2"/>
      </w:pPr>
      <w:r>
        <w:t>ملخص القياسات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الخدمة</w:t>
            </w:r>
          </w:p>
        </w:tc>
        <w:tc>
          <w:tcPr>
            <w:tcW w:type="dxa" w:w="2160"/>
          </w:tcPr>
          <w:p>
            <w:r>
              <w:t>متوسط الزمن (ثانية)</w:t>
            </w:r>
          </w:p>
        </w:tc>
        <w:tc>
          <w:tcPr>
            <w:tcW w:type="dxa" w:w="2160"/>
          </w:tcPr>
          <w:p>
            <w:r>
              <w:t>الانحراف المعياري</w:t>
            </w:r>
          </w:p>
        </w:tc>
        <w:tc>
          <w:tcPr>
            <w:tcW w:type="dxa" w:w="2160"/>
          </w:tcPr>
          <w:p>
            <w:r>
              <w:t>عدد العينات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0.076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  <w:tc>
          <w:tcPr>
            <w:tcW w:type="dxa" w:w="2160"/>
          </w:tcPr>
          <w:p>
            <w:r>
              <w:t>0.033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0.101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1.594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2.333</w:t>
            </w:r>
          </w:p>
        </w:tc>
        <w:tc>
          <w:tcPr>
            <w:tcW w:type="dxa" w:w="2160"/>
          </w:tcPr>
          <w:p>
            <w:r>
              <w:t>0.110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7.243</w:t>
            </w:r>
          </w:p>
        </w:tc>
        <w:tc>
          <w:tcPr>
            <w:tcW w:type="dxa" w:w="2160"/>
          </w:tcPr>
          <w:p>
            <w:r>
              <w:t>2.752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3.060</w:t>
            </w:r>
          </w:p>
        </w:tc>
        <w:tc>
          <w:tcPr>
            <w:tcW w:type="dxa" w:w="2160"/>
          </w:tcPr>
          <w:p>
            <w:r>
              <w:t>0.422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4.821</w:t>
            </w:r>
          </w:p>
        </w:tc>
        <w:tc>
          <w:tcPr>
            <w:tcW w:type="dxa" w:w="2160"/>
          </w:tcPr>
          <w:p>
            <w:r>
              <w:t>0.219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8.492</w:t>
            </w:r>
          </w:p>
        </w:tc>
        <w:tc>
          <w:tcPr>
            <w:tcW w:type="dxa" w:w="2160"/>
          </w:tcPr>
          <w:p>
            <w:r>
              <w:t>1.037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11.486</w:t>
            </w:r>
          </w:p>
        </w:tc>
        <w:tc>
          <w:tcPr>
            <w:tcW w:type="dxa" w:w="2160"/>
          </w:tcPr>
          <w:p>
            <w:r>
              <w:t>0.727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</w:tbl>
    <w:p>
      <w:r>
        <w:t>لوحظ تحسن في مهام factorial، لكن الحمل تركز على node-02 مما يزيد احتمالية الاختناق.</w:t>
      </w:r>
    </w:p>
    <w:p>
      <w:pPr>
        <w:pStyle w:val="Heading2"/>
      </w:pPr>
      <w:r>
        <w:t>الأوزان المطبقة فعليًا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الخدمة</w:t>
            </w:r>
          </w:p>
        </w:tc>
        <w:tc>
          <w:tcPr>
            <w:tcW w:type="dxa" w:w="2880"/>
          </w:tcPr>
          <w:p>
            <w:r>
              <w:t>الوزن النسبي</w:t>
            </w:r>
          </w:p>
        </w:tc>
        <w:tc>
          <w:tcPr>
            <w:tcW w:type="dxa" w:w="2880"/>
          </w:tcPr>
          <w:p>
            <w:r>
              <w:t>عدد العينات</w:t>
            </w:r>
          </w:p>
        </w:tc>
      </w:tr>
      <w:tr>
        <w:tc>
          <w:tcPr>
            <w:tcW w:type="dxa" w:w="2880"/>
          </w:tcPr>
          <w:p>
            <w:r>
              <w:t>fact_100k</w:t>
            </w:r>
          </w:p>
        </w:tc>
        <w:tc>
          <w:tcPr>
            <w:tcW w:type="dxa" w:w="2880"/>
          </w:tcPr>
          <w:p>
            <w:r>
              <w:t>0.544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fact_200k</w:t>
            </w:r>
          </w:p>
        </w:tc>
        <w:tc>
          <w:tcPr>
            <w:tcW w:type="dxa" w:w="2880"/>
          </w:tcPr>
          <w:p>
            <w:r>
              <w:t>0.232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fact_300k</w:t>
            </w:r>
          </w:p>
        </w:tc>
        <w:tc>
          <w:tcPr>
            <w:tcW w:type="dxa" w:w="2880"/>
          </w:tcPr>
          <w:p>
            <w:r>
              <w:t>0.111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fact_400k</w:t>
            </w:r>
          </w:p>
        </w:tc>
        <w:tc>
          <w:tcPr>
            <w:tcW w:type="dxa" w:w="2880"/>
          </w:tcPr>
          <w:p>
            <w:r>
              <w:t>0.067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fact_500k</w:t>
            </w:r>
          </w:p>
        </w:tc>
        <w:tc>
          <w:tcPr>
            <w:tcW w:type="dxa" w:w="2880"/>
          </w:tcPr>
          <w:p>
            <w:r>
              <w:t>0.046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matrix_4k</w:t>
            </w:r>
          </w:p>
        </w:tc>
        <w:tc>
          <w:tcPr>
            <w:tcW w:type="dxa" w:w="2880"/>
          </w:tcPr>
          <w:p>
            <w:r>
              <w:t>0.157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matrix_5k</w:t>
            </w:r>
          </w:p>
        </w:tc>
        <w:tc>
          <w:tcPr>
            <w:tcW w:type="dxa" w:w="2880"/>
          </w:tcPr>
          <w:p>
            <w:r>
              <w:t>0.373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matrix_6k</w:t>
            </w:r>
          </w:p>
        </w:tc>
        <w:tc>
          <w:tcPr>
            <w:tcW w:type="dxa" w:w="2880"/>
          </w:tcPr>
          <w:p>
            <w:r>
              <w:t>0.236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matrix_7k</w:t>
            </w:r>
          </w:p>
        </w:tc>
        <w:tc>
          <w:tcPr>
            <w:tcW w:type="dxa" w:w="2880"/>
          </w:tcPr>
          <w:p>
            <w:r>
              <w:t>0.134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matrix_8k</w:t>
            </w:r>
          </w:p>
        </w:tc>
        <w:tc>
          <w:tcPr>
            <w:tcW w:type="dxa" w:w="2880"/>
          </w:tcPr>
          <w:p>
            <w:r>
              <w:t>0.099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r>
        <w:t>يبين الجدول أن كل خدمة حصلت على نسب CPU/ذاكرة التي تم إدخالها يدويًا.</w:t>
      </w:r>
    </w:p>
    <w:p>
      <w:pPr>
        <w:pStyle w:val="Heading2"/>
      </w:pPr>
      <w:r>
        <w:t>لقطات من العنقود</w:t>
      </w:r>
    </w:p>
    <w:p>
      <w:r>
        <w:t>اللقطة الأولى تبرز تجمع الخدمات على node-02:</w:t>
      </w:r>
    </w:p>
    <w:p>
      <w:r>
        <w:drawing>
          <wp:inline xmlns:a="http://schemas.openxmlformats.org/drawingml/2006/main" xmlns:pic="http://schemas.openxmlformats.org/drawingml/2006/picture">
            <wp:extent cx="5486400" cy="3003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al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اللقطة الثانية توضح أن العقد الأخرى بقيت تستضيف خدمات المراقبة بعد التثبيت اليدوي:</w:t>
      </w:r>
    </w:p>
    <w:p>
      <w:r>
        <w:drawing>
          <wp:inline xmlns:a="http://schemas.openxmlformats.org/drawingml/2006/main" xmlns:pic="http://schemas.openxmlformats.org/drawingml/2006/picture">
            <wp:extent cx="5486400" cy="328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al_cluster_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التفاصيل الكاملة موجودة في التقارير Excel تحت reports/replay/manual_2025-10-06_005844.xlsx.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