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Three-node Cluster Replay Analysis</w:t>
      </w:r>
    </w:p>
    <w:p>
      <w:r>
        <w:t>This report covers the latest replay outputs for the three-node cluster (run timestamp 2025-10-13_00:42:15).</w:t>
      </w:r>
    </w:p>
    <w:p>
      <w:r>
        <w:t>Source metrics: scenarios/paper_3node/reports/replay/three_node_run_2025-10-13_004215/combined_strategy_results.csv</w:t>
      </w:r>
    </w:p>
    <w:p>
      <w:r>
        <w:t>Aggregated statistics: scenarios/paper_3node/reports/replay/three_node_run_2025-10-13_004215/summary_three_node_en.csv</w:t>
      </w:r>
    </w:p>
    <w:p>
      <w:r>
        <w:t>Generated figures: scenarios/paper_3node/reports/replay/three_node_run_2025-10-13_004215/plots_en/</w:t>
      </w:r>
    </w:p>
    <w:p>
      <w:pPr>
        <w:pStyle w:val="Heading2"/>
      </w:pPr>
      <w:r>
        <w:t>Performance Highlights</w:t>
      </w:r>
    </w:p>
    <w:p>
      <w:r>
        <w:t>Factorial workloads averaged 0.130s under automated weights (p95 0.152s), outperforming manual (0.892s) and spread (1.039s) baselines.</w:t>
      </w:r>
    </w:p>
    <w:p>
      <w:r>
        <w:t>Matrix workloads favored the spread baseline with 2.057s mean (p95 3.099s), while automated and manual strategies trailed at 2.913s and 3.159s respectively.</w:t>
      </w:r>
    </w:p>
    <w:p>
      <w:r>
        <w:t>Tail latency remains tight for factorial jobs in all strategies (sub-2s p95), whereas matrix jobs exhibit broader spread—particularly under automated control (p95 4.298s).</w:t>
      </w:r>
    </w:p>
    <w:p>
      <w:pPr>
        <w:pStyle w:val="Heading2"/>
      </w:pPr>
      <w:r>
        <w:t>Summary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Samples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Median</w:t>
            </w:r>
          </w:p>
        </w:tc>
        <w:tc>
          <w:tcPr>
            <w:tcW w:type="dxa" w:w="1440"/>
          </w:tcPr>
          <w:p>
            <w:r>
              <w:t>P95</w:t>
            </w:r>
          </w:p>
        </w:tc>
      </w:tr>
      <w:tr>
        <w:tc>
          <w:tcPr>
            <w:tcW w:type="dxa" w:w="1440"/>
          </w:tcPr>
          <w:p>
            <w:r>
              <w:t>Automated</w:t>
            </w:r>
          </w:p>
        </w:tc>
        <w:tc>
          <w:tcPr>
            <w:tcW w:type="dxa" w:w="1440"/>
          </w:tcPr>
          <w:p>
            <w:r>
              <w:t>Factorial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0.130</w:t>
            </w:r>
          </w:p>
        </w:tc>
        <w:tc>
          <w:tcPr>
            <w:tcW w:type="dxa" w:w="1440"/>
          </w:tcPr>
          <w:p>
            <w:r>
              <w:t>0.127</w:t>
            </w:r>
          </w:p>
        </w:tc>
        <w:tc>
          <w:tcPr>
            <w:tcW w:type="dxa" w:w="1440"/>
          </w:tcPr>
          <w:p>
            <w:r>
              <w:t>0.152</w:t>
            </w:r>
          </w:p>
        </w:tc>
      </w:tr>
      <w:tr>
        <w:tc>
          <w:tcPr>
            <w:tcW w:type="dxa" w:w="1440"/>
          </w:tcPr>
          <w:p>
            <w:r>
              <w:t>Automated</w:t>
            </w:r>
          </w:p>
        </w:tc>
        <w:tc>
          <w:tcPr>
            <w:tcW w:type="dxa" w:w="1440"/>
          </w:tcPr>
          <w:p>
            <w:r>
              <w:t>Matrix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2.913</w:t>
            </w:r>
          </w:p>
        </w:tc>
        <w:tc>
          <w:tcPr>
            <w:tcW w:type="dxa" w:w="1440"/>
          </w:tcPr>
          <w:p>
            <w:r>
              <w:t>2.580</w:t>
            </w:r>
          </w:p>
        </w:tc>
        <w:tc>
          <w:tcPr>
            <w:tcW w:type="dxa" w:w="1440"/>
          </w:tcPr>
          <w:p>
            <w:r>
              <w:t>4.298</w:t>
            </w:r>
          </w:p>
        </w:tc>
      </w:tr>
      <w:tr>
        <w:tc>
          <w:tcPr>
            <w:tcW w:type="dxa" w:w="1440"/>
          </w:tcPr>
          <w:p>
            <w:r>
              <w:t>Manual</w:t>
            </w:r>
          </w:p>
        </w:tc>
        <w:tc>
          <w:tcPr>
            <w:tcW w:type="dxa" w:w="1440"/>
          </w:tcPr>
          <w:p>
            <w:r>
              <w:t>Factorial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0.892</w:t>
            </w:r>
          </w:p>
        </w:tc>
        <w:tc>
          <w:tcPr>
            <w:tcW w:type="dxa" w:w="1440"/>
          </w:tcPr>
          <w:p>
            <w:r>
              <w:t>0.884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Manual</w:t>
            </w:r>
          </w:p>
        </w:tc>
        <w:tc>
          <w:tcPr>
            <w:tcW w:type="dxa" w:w="1440"/>
          </w:tcPr>
          <w:p>
            <w:r>
              <w:t>Matrix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3.159</w:t>
            </w:r>
          </w:p>
        </w:tc>
        <w:tc>
          <w:tcPr>
            <w:tcW w:type="dxa" w:w="1440"/>
          </w:tcPr>
          <w:p>
            <w:r>
              <w:t>3.015</w:t>
            </w:r>
          </w:p>
        </w:tc>
        <w:tc>
          <w:tcPr>
            <w:tcW w:type="dxa" w:w="1440"/>
          </w:tcPr>
          <w:p>
            <w:r>
              <w:t>4.016</w:t>
            </w:r>
          </w:p>
        </w:tc>
      </w:tr>
      <w:tr>
        <w:tc>
          <w:tcPr>
            <w:tcW w:type="dxa" w:w="1440"/>
          </w:tcPr>
          <w:p>
            <w:r>
              <w:t>Spread</w:t>
            </w:r>
          </w:p>
        </w:tc>
        <w:tc>
          <w:tcPr>
            <w:tcW w:type="dxa" w:w="1440"/>
          </w:tcPr>
          <w:p>
            <w:r>
              <w:t>Factorial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1.039</w:t>
            </w:r>
          </w:p>
        </w:tc>
        <w:tc>
          <w:tcPr>
            <w:tcW w:type="dxa" w:w="1440"/>
          </w:tcPr>
          <w:p>
            <w:r>
              <w:t>0.875</w:t>
            </w:r>
          </w:p>
        </w:tc>
        <w:tc>
          <w:tcPr>
            <w:tcW w:type="dxa" w:w="1440"/>
          </w:tcPr>
          <w:p>
            <w:r>
              <w:t>2.151</w:t>
            </w:r>
          </w:p>
        </w:tc>
      </w:tr>
      <w:tr>
        <w:tc>
          <w:tcPr>
            <w:tcW w:type="dxa" w:w="1440"/>
          </w:tcPr>
          <w:p>
            <w:r>
              <w:t>Spread</w:t>
            </w:r>
          </w:p>
        </w:tc>
        <w:tc>
          <w:tcPr>
            <w:tcW w:type="dxa" w:w="1440"/>
          </w:tcPr>
          <w:p>
            <w:r>
              <w:t>Matrix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2.057</w:t>
            </w:r>
          </w:p>
        </w:tc>
        <w:tc>
          <w:tcPr>
            <w:tcW w:type="dxa" w:w="1440"/>
          </w:tcPr>
          <w:p>
            <w:r>
              <w:t>1.706</w:t>
            </w:r>
          </w:p>
        </w:tc>
        <w:tc>
          <w:tcPr>
            <w:tcW w:type="dxa" w:w="1440"/>
          </w:tcPr>
          <w:p>
            <w:r>
              <w:t>3.099</w:t>
            </w:r>
          </w:p>
        </w:tc>
      </w:tr>
    </w:tbl>
    <w:p>
      <w:r>
        <w:t>Refer to summary_three_node_en.csv for additional metrics such as standard deviation.</w:t>
      </w:r>
    </w:p>
    <w:p>
      <w:pPr>
        <w:pStyle w:val="Heading2"/>
      </w:pPr>
      <w:r>
        <w:t>Key Observations</w:t>
      </w:r>
    </w:p>
    <w:p>
      <w:pPr>
        <w:pStyle w:val="ListBullet"/>
      </w:pPr>
      <w:r>
        <w:t>Automated weighting keeps factorial workloads consistently low in both mean and tail latency, validating the resource-driven scheduler configuration.</w:t>
      </w:r>
    </w:p>
    <w:p>
      <w:pPr>
        <w:pStyle w:val="ListBullet"/>
      </w:pPr>
      <w:r>
        <w:t>Matrix jobs benefit from explicit spread placement across the three nodes; automated placement introduces more variability, suggesting the need for matrix-specific weighting or pinning.</w:t>
      </w:r>
    </w:p>
    <w:p>
      <w:pPr>
        <w:pStyle w:val="ListBullet"/>
      </w:pPr>
      <w:r>
        <w:t>No data gaps were detected in this replay, indicating that Prometheus collection was continuous throughout the sampling window.</w:t>
      </w:r>
    </w:p>
    <w:p>
      <w:pPr>
        <w:pStyle w:val="Heading2"/>
      </w:pPr>
      <w:r>
        <w:t>Supporting Figures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_du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Average execution time per strategy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_du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95th percentile execution time per strategy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Execution time distribution by strategy/service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weigh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Automated weighting profile</w:t>
      </w:r>
    </w:p>
    <w:p>
      <w:pPr>
        <w:pStyle w:val="Heading2"/>
      </w:pPr>
      <w:r>
        <w:t>Conclusion &amp; Next Steps</w:t>
      </w:r>
    </w:p>
    <w:p>
      <w:r>
        <w:t>Maintain automated weighting for factorial services as the default, while exploring strategy-specific adjustments for matrix workloads (e.g., pre-assigned node groups or tuned weights). Plan additional replay runs after tuning to validate improvements and ensure sustained Prometheus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