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Scientific Study: Weighted Placement Strategies for Docker Swarm</w:t>
      </w:r>
    </w:p>
    <w:p>
      <w:pPr>
        <w:pStyle w:val="Heading2"/>
      </w:pPr>
      <w:r>
        <w:t>Abstract</w:t>
      </w:r>
    </w:p>
    <w:p>
      <w:r>
        <w:t>This paper evaluates three placement strategies—Spread, Manual weighting, and Auto weighting—on heterogeneous Docker Swarm clusters. Two experimental scenarios were executed: a three-node cluster that mirrors prior work, and an expanded five-node cluster with additional factorial and matrix workloads. Metrics were gathered directly from Prometheus after enforcing multiple restart cycles per service to capture stable averages. Results indicate that the auto-weighted scheduler consistently outperforms Spread by redistributing workloads according to real-time resource utilisation, while manual weighting improves selected services but risks concentrating load when weights are not calibrated for each node.</w:t>
      </w:r>
    </w:p>
    <w:p>
      <w:pPr>
        <w:pStyle w:val="Heading2"/>
      </w:pPr>
      <w:r>
        <w:t>1. Experimental Setup</w:t>
      </w:r>
    </w:p>
    <w:p>
      <w:pPr>
        <w:pStyle w:val="ListBullet"/>
      </w:pPr>
      <w:r>
        <w:t>Prometheus and Grafana monitor factorial and matrix microservices exposed via HTTP.</w:t>
      </w:r>
    </w:p>
    <w:p>
      <w:pPr>
        <w:pStyle w:val="ListBullet"/>
      </w:pPr>
      <w:r>
        <w:t>Scenario A (3 nodes): master + two workers replicating the original paper.</w:t>
      </w:r>
    </w:p>
    <w:p>
      <w:pPr>
        <w:pStyle w:val="ListBullet"/>
      </w:pPr>
      <w:r>
        <w:t>Scenario B (5 nodes): adds node-03 (CPU≈2, RAM≈31GB) and node-04 (CPU≈2, RAM≈42GB) plus factorial_200k/400k and matrix_6k/7k/8k.</w:t>
      </w:r>
    </w:p>
    <w:p>
      <w:pPr>
        <w:pStyle w:val="ListBullet"/>
      </w:pPr>
      <w:r>
        <w:t>For each strategy all services were restarted 10 times with 70-second intervals before collecting metrics.</w:t>
      </w:r>
    </w:p>
    <w:p>
      <w:pPr>
        <w:pStyle w:val="ListBullet"/>
      </w:pPr>
      <w:r>
        <w:t>Exports were generated via collector/replay_strategies.py and consolidated as combined_strategy_results.xlsx.</w:t>
      </w:r>
    </w:p>
    <w:p>
      <w:pPr>
        <w:pStyle w:val="Heading2"/>
      </w:pPr>
      <w:r>
        <w:t>2. Scenario A — Three Nodes</w:t>
      </w:r>
    </w:p>
    <w:p>
      <w:r>
        <w:t>Average execution time (seconds) per service in the three-node cluster: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0.202</w:t>
            </w:r>
          </w:p>
        </w:tc>
        <w:tc>
          <w:tcPr>
            <w:tcW w:type="dxa" w:w="2160"/>
          </w:tcPr>
          <w:p>
            <w:r>
              <w:t>0.202</w:t>
            </w:r>
          </w:p>
        </w:tc>
        <w:tc>
          <w:tcPr>
            <w:tcW w:type="dxa" w:w="2160"/>
          </w:tcPr>
          <w:p>
            <w:r>
              <w:t>0.135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1.709</w:t>
            </w:r>
          </w:p>
        </w:tc>
        <w:tc>
          <w:tcPr>
            <w:tcW w:type="dxa" w:w="2160"/>
          </w:tcPr>
          <w:p>
            <w:r>
              <w:t>1.677</w:t>
            </w:r>
          </w:p>
        </w:tc>
        <w:tc>
          <w:tcPr>
            <w:tcW w:type="dxa" w:w="2160"/>
          </w:tcPr>
          <w:p>
            <w:r>
              <w:t>0.917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3.094</w:t>
            </w:r>
          </w:p>
        </w:tc>
        <w:tc>
          <w:tcPr>
            <w:tcW w:type="dxa" w:w="2160"/>
          </w:tcPr>
          <w:p>
            <w:r>
              <w:t>3.084</w:t>
            </w:r>
          </w:p>
        </w:tc>
        <w:tc>
          <w:tcPr>
            <w:tcW w:type="dxa" w:w="2160"/>
          </w:tcPr>
          <w:p>
            <w:r>
              <w:t>2.236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4.108</w:t>
            </w:r>
          </w:p>
        </w:tc>
        <w:tc>
          <w:tcPr>
            <w:tcW w:type="dxa" w:w="2160"/>
          </w:tcPr>
          <w:p>
            <w:r>
              <w:t>4.108</w:t>
            </w:r>
          </w:p>
        </w:tc>
        <w:tc>
          <w:tcPr>
            <w:tcW w:type="dxa" w:w="2160"/>
          </w:tcPr>
          <w:p>
            <w:r>
              <w:t>1.534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4.866</w:t>
            </w:r>
          </w:p>
        </w:tc>
        <w:tc>
          <w:tcPr>
            <w:tcW w:type="dxa" w:w="2160"/>
          </w:tcPr>
          <w:p>
            <w:r>
              <w:t>4.877</w:t>
            </w:r>
          </w:p>
        </w:tc>
        <w:tc>
          <w:tcPr>
            <w:tcW w:type="dxa" w:w="2160"/>
          </w:tcPr>
          <w:p>
            <w:r>
              <w:t>2.969</w:t>
            </w:r>
          </w:p>
        </w:tc>
      </w:tr>
    </w:tbl>
    <w:p>
      <w:r>
        <w:t>Auto weighting reduces matrix_4k runtime by approximately 63% versus Spread, while manual weighting shows limited gains (&lt;2%) because fixed CPU/MEM ratios do not reflect per-node capacity.</w:t>
      </w:r>
    </w:p>
    <w:p>
      <w:pPr>
        <w:pStyle w:val="Heading2"/>
      </w:pPr>
      <w:r>
        <w:t>3. Scenario B — Five Nodes</w:t>
      </w:r>
    </w:p>
    <w:p>
      <w:r>
        <w:t>Average execution time (seconds) after expanding the cluster: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Manual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</w:tr>
      <w:tr>
        <w:tc>
          <w:tcPr>
            <w:tcW w:type="dxa" w:w="2160"/>
          </w:tcPr>
          <w:p>
            <w:r>
              <w:t>fact_100k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fact_200k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fact_300k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fact_400k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fact_500k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matrix_4k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matrix_5k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matrix_6k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matrix_7k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matrix_8k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Auto weighting leverages the additional nodes to cut matrix_6k and matrix_8k runtimes by roughly 25% relative to Spread. Manual weighting improves memory-bound tasks but keeps factorial workloads concentrated on node-02.</w:t>
      </w:r>
    </w:p>
    <w:p>
      <w:pPr>
        <w:pStyle w:val="Heading2"/>
      </w:pPr>
      <w:r>
        <w:t>4. Aggregate Runtime per Strategy</w:t>
      </w:r>
    </w:p>
    <w:tbl>
      <w:tblPr>
        <w:tblStyle w:val="MediumList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Strategy</w:t>
            </w:r>
          </w:p>
        </w:tc>
        <w:tc>
          <w:tcPr>
            <w:tcW w:type="dxa" w:w="4320"/>
          </w:tcPr>
          <w:p>
            <w:r>
              <w:t>Total duration (s)</w:t>
            </w:r>
          </w:p>
        </w:tc>
      </w:tr>
      <w:tr>
        <w:tc>
          <w:tcPr>
            <w:tcW w:type="dxa" w:w="4320"/>
          </w:tcPr>
          <w:p>
            <w:r>
              <w:t>auto</w:t>
            </w:r>
          </w:p>
        </w:tc>
        <w:tc>
          <w:tcPr>
            <w:tcW w:type="dxa" w:w="4320"/>
          </w:tcPr>
          <w:p>
            <w:r>
              <w:t>557.526</w:t>
            </w:r>
          </w:p>
        </w:tc>
      </w:tr>
      <w:tr>
        <w:tc>
          <w:tcPr>
            <w:tcW w:type="dxa" w:w="4320"/>
          </w:tcPr>
          <w:p>
            <w:r>
              <w:t>manual</w:t>
            </w:r>
          </w:p>
        </w:tc>
        <w:tc>
          <w:tcPr>
            <w:tcW w:type="dxa" w:w="4320"/>
          </w:tcPr>
          <w:p>
            <w:r>
              <w:t>704.232</w:t>
            </w:r>
          </w:p>
        </w:tc>
      </w:tr>
      <w:tr>
        <w:tc>
          <w:tcPr>
            <w:tcW w:type="dxa" w:w="4320"/>
          </w:tcPr>
          <w:p>
            <w:r>
              <w:t>spread</w:t>
            </w:r>
          </w:p>
        </w:tc>
        <w:tc>
          <w:tcPr>
            <w:tcW w:type="dxa" w:w="4320"/>
          </w:tcPr>
          <w:p>
            <w:r>
              <w:t>818.511</w:t>
            </w:r>
          </w:p>
        </w:tc>
      </w:tr>
    </w:tbl>
    <w:p>
      <w:r>
        <w:t>Auto delivers the lowest cumulative runtime (≈558 s), followed by manual (≈704 s) and Spread (≈819 s). This confirms that dynamic rebalancing shortens end-to-end replay time.</w:t>
      </w:r>
    </w:p>
    <w:p>
      <w:pPr>
        <w:pStyle w:val="Heading2"/>
      </w:pPr>
      <w:r>
        <w:t>5. Visual Comparison</w:t>
      </w:r>
    </w:p>
    <w:p>
      <w:r>
        <w:t>Grouped bar chart summarising per-service averages for the five-node scenario:</w:t>
      </w:r>
    </w:p>
    <w:p>
      <w:r>
        <w:drawing>
          <wp:inline xmlns:a="http://schemas.openxmlformats.org/drawingml/2006/main" xmlns:pic="http://schemas.openxmlformats.org/drawingml/2006/picture">
            <wp:extent cx="5943600" cy="25472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_strategy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Discussion</w:t>
      </w:r>
    </w:p>
    <w:p>
      <w:r>
        <w:t>Spread remains the most predictable baseline but cannot exploit heterogeneity. Manual weighting speeds up factorial tasks yet risks saturating node-02 because static weights ignore resource asymmetry. Auto weighting adapts to live telemetry and allocates matrix workloads to memory-rich nodes, keeping factorial runtimes competitive.</w:t>
      </w:r>
    </w:p>
    <w:p>
      <w:pPr>
        <w:pStyle w:val="Heading2"/>
      </w:pPr>
      <w:r>
        <w:t>7. Conclusion</w:t>
      </w:r>
    </w:p>
    <w:p>
      <w:r>
        <w:t>Dynamic, telemetry-driven scheduling (Auto) offers the best trade-off between throughput and balanced utilisation. Future work should explore hybrid approaches that combine manual priorities with continuous auto adjustments.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