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تحليل مقارنة الأداء بين سيناريو الثلاث والخمس عقد</w:t>
      </w:r>
    </w:p>
    <w:p>
      <w:r>
        <w:t xml:space="preserve">تم تحليل نتائج التشغيل المولدة من المسارين التالية بياناتهما: </w:t>
      </w:r>
    </w:p>
    <w:p>
      <w:r>
        <w:t>1. scenarios/paper_3node/reports/replay/three_node_run_2025-10-13_004215</w:t>
      </w:r>
    </w:p>
    <w:p>
      <w:r>
        <w:t>2. scenarios/realistic_5node/reports/replay/five_node_run_2025-10-13_022635</w:t>
      </w:r>
    </w:p>
    <w:p>
      <w:r>
        <w:t>الرسوم البيانية الداعمة متاحة في reports/replay/strategies/three_vs_five_nodes.</w:t>
      </w:r>
    </w:p>
    <w:p>
      <w:pPr>
        <w:pStyle w:val="Heading2"/>
      </w:pPr>
      <w:r>
        <w:t>ملخص مؤشرات الأداء</w:t>
      </w:r>
    </w:p>
    <w:p>
      <w:r>
        <w:t>في سيناريو الثلاث عقد، حققت الإستراتيجية الأوتوماتيكية لخدمات الفاكتوريال متوسطًا قدره 0.130 ثانية مع قيمة 95٪ تبلغ 0.152 ثانية، مقابل 0.892 ثانية للتشغيل اليدوي.</w:t>
      </w:r>
    </w:p>
    <w:p>
      <w:r>
        <w:t>بالنسبة لخدمات الماتريكس، جاءت إستراتيجية التوزيع في المقدمة بمتوسط 2.057 ثانية مقارنةً بالأوتوماتيكي (2.913) واليدوي (3.159).</w:t>
      </w:r>
    </w:p>
    <w:p>
      <w:r>
        <w:t>في سيناريو الخمس عقد ارتفع متوسط الفاكتوريال الأوتوماتيكي إلى 0.466 ثانية مع قيمة 95٪ قدرها 0.519، لكنه ظل أقل من اليدوي (1.199).</w:t>
      </w:r>
    </w:p>
    <w:p>
      <w:r>
        <w:t>أما مهام الماتريكس تحت إستراتيجية التوزيع فبلغ متوسطها 22.91 ثانية بينما تمكن التشغيل اليدوي من الحفاظ على 6.03 ثانية، ما يعكس حساسية الماتريكس لتكاليف الشبكة في العنقود الأكبر.</w:t>
      </w:r>
    </w:p>
    <w:p>
      <w:pPr>
        <w:pStyle w:val="Heading2"/>
      </w:pPr>
      <w:r>
        <w:t>جدول الإحصاءات المجمّعة</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السيناريو</w:t>
            </w:r>
          </w:p>
        </w:tc>
        <w:tc>
          <w:tcPr>
            <w:tcW w:type="dxa" w:w="1234"/>
          </w:tcPr>
          <w:p>
            <w:r>
              <w:t>الإستراتيجية</w:t>
            </w:r>
          </w:p>
        </w:tc>
        <w:tc>
          <w:tcPr>
            <w:tcW w:type="dxa" w:w="1234"/>
          </w:tcPr>
          <w:p>
            <w:r>
              <w:t>نوع الخدمة</w:t>
            </w:r>
          </w:p>
        </w:tc>
        <w:tc>
          <w:tcPr>
            <w:tcW w:type="dxa" w:w="1234"/>
          </w:tcPr>
          <w:p>
            <w:r>
              <w:t>عدد العينات</w:t>
            </w:r>
          </w:p>
        </w:tc>
        <w:tc>
          <w:tcPr>
            <w:tcW w:type="dxa" w:w="1234"/>
          </w:tcPr>
          <w:p>
            <w:r>
              <w:t>متوسط الزمن (ث)</w:t>
            </w:r>
          </w:p>
        </w:tc>
        <w:tc>
          <w:tcPr>
            <w:tcW w:type="dxa" w:w="1234"/>
          </w:tcPr>
          <w:p>
            <w:r>
              <w:t>الوسيط (ث)</w:t>
            </w:r>
          </w:p>
        </w:tc>
        <w:tc>
          <w:tcPr>
            <w:tcW w:type="dxa" w:w="1234"/>
          </w:tcPr>
          <w:p>
            <w:r>
              <w:t>زمن 95٪ (ث)</w:t>
            </w:r>
          </w:p>
        </w:tc>
      </w:tr>
      <w:tr>
        <w:tc>
          <w:tcPr>
            <w:tcW w:type="dxa" w:w="1234"/>
          </w:tcPr>
          <w:p>
            <w:r>
              <w:t>ثلاث-عُقد</w:t>
            </w:r>
          </w:p>
        </w:tc>
        <w:tc>
          <w:tcPr>
            <w:tcW w:type="dxa" w:w="1234"/>
          </w:tcPr>
          <w:p>
            <w:r>
              <w:t>أوتوماتيكي</w:t>
            </w:r>
          </w:p>
        </w:tc>
        <w:tc>
          <w:tcPr>
            <w:tcW w:type="dxa" w:w="1234"/>
          </w:tcPr>
          <w:p>
            <w:r>
              <w:t>فاكتوريال</w:t>
            </w:r>
          </w:p>
        </w:tc>
        <w:tc>
          <w:tcPr>
            <w:tcW w:type="dxa" w:w="1234"/>
          </w:tcPr>
          <w:p>
            <w:r>
              <w:t>21</w:t>
            </w:r>
          </w:p>
        </w:tc>
        <w:tc>
          <w:tcPr>
            <w:tcW w:type="dxa" w:w="1234"/>
          </w:tcPr>
          <w:p>
            <w:r>
              <w:t>0.130</w:t>
            </w:r>
          </w:p>
        </w:tc>
        <w:tc>
          <w:tcPr>
            <w:tcW w:type="dxa" w:w="1234"/>
          </w:tcPr>
          <w:p>
            <w:r>
              <w:t>0.127</w:t>
            </w:r>
          </w:p>
        </w:tc>
        <w:tc>
          <w:tcPr>
            <w:tcW w:type="dxa" w:w="1234"/>
          </w:tcPr>
          <w:p>
            <w:r>
              <w:t>0.152</w:t>
            </w:r>
          </w:p>
        </w:tc>
      </w:tr>
      <w:tr>
        <w:tc>
          <w:tcPr>
            <w:tcW w:type="dxa" w:w="1234"/>
          </w:tcPr>
          <w:p>
            <w:r>
              <w:t>ثلاث-عُقد</w:t>
            </w:r>
          </w:p>
        </w:tc>
        <w:tc>
          <w:tcPr>
            <w:tcW w:type="dxa" w:w="1234"/>
          </w:tcPr>
          <w:p>
            <w:r>
              <w:t>أوتوماتيكي</w:t>
            </w:r>
          </w:p>
        </w:tc>
        <w:tc>
          <w:tcPr>
            <w:tcW w:type="dxa" w:w="1234"/>
          </w:tcPr>
          <w:p>
            <w:r>
              <w:t>ماتريكس</w:t>
            </w:r>
          </w:p>
        </w:tc>
        <w:tc>
          <w:tcPr>
            <w:tcW w:type="dxa" w:w="1234"/>
          </w:tcPr>
          <w:p>
            <w:r>
              <w:t>20</w:t>
            </w:r>
          </w:p>
        </w:tc>
        <w:tc>
          <w:tcPr>
            <w:tcW w:type="dxa" w:w="1234"/>
          </w:tcPr>
          <w:p>
            <w:r>
              <w:t>2.913</w:t>
            </w:r>
          </w:p>
        </w:tc>
        <w:tc>
          <w:tcPr>
            <w:tcW w:type="dxa" w:w="1234"/>
          </w:tcPr>
          <w:p>
            <w:r>
              <w:t>2.580</w:t>
            </w:r>
          </w:p>
        </w:tc>
        <w:tc>
          <w:tcPr>
            <w:tcW w:type="dxa" w:w="1234"/>
          </w:tcPr>
          <w:p>
            <w:r>
              <w:t>4.298</w:t>
            </w:r>
          </w:p>
        </w:tc>
      </w:tr>
      <w:tr>
        <w:tc>
          <w:tcPr>
            <w:tcW w:type="dxa" w:w="1234"/>
          </w:tcPr>
          <w:p>
            <w:r>
              <w:t>ثلاث-عُقد</w:t>
            </w:r>
          </w:p>
        </w:tc>
        <w:tc>
          <w:tcPr>
            <w:tcW w:type="dxa" w:w="1234"/>
          </w:tcPr>
          <w:p>
            <w:r>
              <w:t>توزيع</w:t>
            </w:r>
          </w:p>
        </w:tc>
        <w:tc>
          <w:tcPr>
            <w:tcW w:type="dxa" w:w="1234"/>
          </w:tcPr>
          <w:p>
            <w:r>
              <w:t>فاكتوريال</w:t>
            </w:r>
          </w:p>
        </w:tc>
        <w:tc>
          <w:tcPr>
            <w:tcW w:type="dxa" w:w="1234"/>
          </w:tcPr>
          <w:p>
            <w:r>
              <w:t>63</w:t>
            </w:r>
          </w:p>
        </w:tc>
        <w:tc>
          <w:tcPr>
            <w:tcW w:type="dxa" w:w="1234"/>
          </w:tcPr>
          <w:p>
            <w:r>
              <w:t>1.039</w:t>
            </w:r>
          </w:p>
        </w:tc>
        <w:tc>
          <w:tcPr>
            <w:tcW w:type="dxa" w:w="1234"/>
          </w:tcPr>
          <w:p>
            <w:r>
              <w:t>0.875</w:t>
            </w:r>
          </w:p>
        </w:tc>
        <w:tc>
          <w:tcPr>
            <w:tcW w:type="dxa" w:w="1234"/>
          </w:tcPr>
          <w:p>
            <w:r>
              <w:t>2.151</w:t>
            </w:r>
          </w:p>
        </w:tc>
      </w:tr>
      <w:tr>
        <w:tc>
          <w:tcPr>
            <w:tcW w:type="dxa" w:w="1234"/>
          </w:tcPr>
          <w:p>
            <w:r>
              <w:t>ثلاث-عُقد</w:t>
            </w:r>
          </w:p>
        </w:tc>
        <w:tc>
          <w:tcPr>
            <w:tcW w:type="dxa" w:w="1234"/>
          </w:tcPr>
          <w:p>
            <w:r>
              <w:t>توزيع</w:t>
            </w:r>
          </w:p>
        </w:tc>
        <w:tc>
          <w:tcPr>
            <w:tcW w:type="dxa" w:w="1234"/>
          </w:tcPr>
          <w:p>
            <w:r>
              <w:t>ماتريكس</w:t>
            </w:r>
          </w:p>
        </w:tc>
        <w:tc>
          <w:tcPr>
            <w:tcW w:type="dxa" w:w="1234"/>
          </w:tcPr>
          <w:p>
            <w:r>
              <w:t>41</w:t>
            </w:r>
          </w:p>
        </w:tc>
        <w:tc>
          <w:tcPr>
            <w:tcW w:type="dxa" w:w="1234"/>
          </w:tcPr>
          <w:p>
            <w:r>
              <w:t>2.057</w:t>
            </w:r>
          </w:p>
        </w:tc>
        <w:tc>
          <w:tcPr>
            <w:tcW w:type="dxa" w:w="1234"/>
          </w:tcPr>
          <w:p>
            <w:r>
              <w:t>1.706</w:t>
            </w:r>
          </w:p>
        </w:tc>
        <w:tc>
          <w:tcPr>
            <w:tcW w:type="dxa" w:w="1234"/>
          </w:tcPr>
          <w:p>
            <w:r>
              <w:t>3.099</w:t>
            </w:r>
          </w:p>
        </w:tc>
      </w:tr>
      <w:tr>
        <w:tc>
          <w:tcPr>
            <w:tcW w:type="dxa" w:w="1234"/>
          </w:tcPr>
          <w:p>
            <w:r>
              <w:t>ثلاث-عُقد</w:t>
            </w:r>
          </w:p>
        </w:tc>
        <w:tc>
          <w:tcPr>
            <w:tcW w:type="dxa" w:w="1234"/>
          </w:tcPr>
          <w:p>
            <w:r>
              <w:t>يدوي</w:t>
            </w:r>
          </w:p>
        </w:tc>
        <w:tc>
          <w:tcPr>
            <w:tcW w:type="dxa" w:w="1234"/>
          </w:tcPr>
          <w:p>
            <w:r>
              <w:t>فاكتوريال</w:t>
            </w:r>
          </w:p>
        </w:tc>
        <w:tc>
          <w:tcPr>
            <w:tcW w:type="dxa" w:w="1234"/>
          </w:tcPr>
          <w:p>
            <w:r>
              <w:t>21</w:t>
            </w:r>
          </w:p>
        </w:tc>
        <w:tc>
          <w:tcPr>
            <w:tcW w:type="dxa" w:w="1234"/>
          </w:tcPr>
          <w:p>
            <w:r>
              <w:t>0.892</w:t>
            </w:r>
          </w:p>
        </w:tc>
        <w:tc>
          <w:tcPr>
            <w:tcW w:type="dxa" w:w="1234"/>
          </w:tcPr>
          <w:p>
            <w:r>
              <w:t>0.884</w:t>
            </w:r>
          </w:p>
        </w:tc>
        <w:tc>
          <w:tcPr>
            <w:tcW w:type="dxa" w:w="1234"/>
          </w:tcPr>
          <w:p>
            <w:r>
              <w:t>1.000</w:t>
            </w:r>
          </w:p>
        </w:tc>
      </w:tr>
      <w:tr>
        <w:tc>
          <w:tcPr>
            <w:tcW w:type="dxa" w:w="1234"/>
          </w:tcPr>
          <w:p>
            <w:r>
              <w:t>ثلاث-عُقد</w:t>
            </w:r>
          </w:p>
        </w:tc>
        <w:tc>
          <w:tcPr>
            <w:tcW w:type="dxa" w:w="1234"/>
          </w:tcPr>
          <w:p>
            <w:r>
              <w:t>يدوي</w:t>
            </w:r>
          </w:p>
        </w:tc>
        <w:tc>
          <w:tcPr>
            <w:tcW w:type="dxa" w:w="1234"/>
          </w:tcPr>
          <w:p>
            <w:r>
              <w:t>ماتريكس</w:t>
            </w:r>
          </w:p>
        </w:tc>
        <w:tc>
          <w:tcPr>
            <w:tcW w:type="dxa" w:w="1234"/>
          </w:tcPr>
          <w:p>
            <w:r>
              <w:t>21</w:t>
            </w:r>
          </w:p>
        </w:tc>
        <w:tc>
          <w:tcPr>
            <w:tcW w:type="dxa" w:w="1234"/>
          </w:tcPr>
          <w:p>
            <w:r>
              <w:t>3.159</w:t>
            </w:r>
          </w:p>
        </w:tc>
        <w:tc>
          <w:tcPr>
            <w:tcW w:type="dxa" w:w="1234"/>
          </w:tcPr>
          <w:p>
            <w:r>
              <w:t>3.015</w:t>
            </w:r>
          </w:p>
        </w:tc>
        <w:tc>
          <w:tcPr>
            <w:tcW w:type="dxa" w:w="1234"/>
          </w:tcPr>
          <w:p>
            <w:r>
              <w:t>4.016</w:t>
            </w:r>
          </w:p>
        </w:tc>
      </w:tr>
      <w:tr>
        <w:tc>
          <w:tcPr>
            <w:tcW w:type="dxa" w:w="1234"/>
          </w:tcPr>
          <w:p>
            <w:r>
              <w:t>خمس-عُقد</w:t>
            </w:r>
          </w:p>
        </w:tc>
        <w:tc>
          <w:tcPr>
            <w:tcW w:type="dxa" w:w="1234"/>
          </w:tcPr>
          <w:p>
            <w:r>
              <w:t>أوتوماتيكي</w:t>
            </w:r>
          </w:p>
        </w:tc>
        <w:tc>
          <w:tcPr>
            <w:tcW w:type="dxa" w:w="1234"/>
          </w:tcPr>
          <w:p>
            <w:r>
              <w:t>فاكتوريال</w:t>
            </w:r>
          </w:p>
        </w:tc>
        <w:tc>
          <w:tcPr>
            <w:tcW w:type="dxa" w:w="1234"/>
          </w:tcPr>
          <w:p>
            <w:r>
              <w:t>21</w:t>
            </w:r>
          </w:p>
        </w:tc>
        <w:tc>
          <w:tcPr>
            <w:tcW w:type="dxa" w:w="1234"/>
          </w:tcPr>
          <w:p>
            <w:r>
              <w:t>0.466</w:t>
            </w:r>
          </w:p>
        </w:tc>
        <w:tc>
          <w:tcPr>
            <w:tcW w:type="dxa" w:w="1234"/>
          </w:tcPr>
          <w:p>
            <w:r>
              <w:t>0.475</w:t>
            </w:r>
          </w:p>
        </w:tc>
        <w:tc>
          <w:tcPr>
            <w:tcW w:type="dxa" w:w="1234"/>
          </w:tcPr>
          <w:p>
            <w:r>
              <w:t>0.519</w:t>
            </w:r>
          </w:p>
        </w:tc>
      </w:tr>
      <w:tr>
        <w:tc>
          <w:tcPr>
            <w:tcW w:type="dxa" w:w="1234"/>
          </w:tcPr>
          <w:p>
            <w:r>
              <w:t>خمس-عُقد</w:t>
            </w:r>
          </w:p>
        </w:tc>
        <w:tc>
          <w:tcPr>
            <w:tcW w:type="dxa" w:w="1234"/>
          </w:tcPr>
          <w:p>
            <w:r>
              <w:t>توزيع</w:t>
            </w:r>
          </w:p>
        </w:tc>
        <w:tc>
          <w:tcPr>
            <w:tcW w:type="dxa" w:w="1234"/>
          </w:tcPr>
          <w:p>
            <w:r>
              <w:t>فاكتوريال</w:t>
            </w:r>
          </w:p>
        </w:tc>
        <w:tc>
          <w:tcPr>
            <w:tcW w:type="dxa" w:w="1234"/>
          </w:tcPr>
          <w:p>
            <w:r>
              <w:t>105</w:t>
            </w:r>
          </w:p>
        </w:tc>
        <w:tc>
          <w:tcPr>
            <w:tcW w:type="dxa" w:w="1234"/>
          </w:tcPr>
          <w:p>
            <w:r>
              <w:t>1.909</w:t>
            </w:r>
          </w:p>
        </w:tc>
        <w:tc>
          <w:tcPr>
            <w:tcW w:type="dxa" w:w="1234"/>
          </w:tcPr>
          <w:p>
            <w:r>
              <w:t>0.939</w:t>
            </w:r>
          </w:p>
        </w:tc>
        <w:tc>
          <w:tcPr>
            <w:tcW w:type="dxa" w:w="1234"/>
          </w:tcPr>
          <w:p>
            <w:r>
              <w:t>5.641</w:t>
            </w:r>
          </w:p>
        </w:tc>
      </w:tr>
      <w:tr>
        <w:tc>
          <w:tcPr>
            <w:tcW w:type="dxa" w:w="1234"/>
          </w:tcPr>
          <w:p>
            <w:r>
              <w:t>خمس-عُقد</w:t>
            </w:r>
          </w:p>
        </w:tc>
        <w:tc>
          <w:tcPr>
            <w:tcW w:type="dxa" w:w="1234"/>
          </w:tcPr>
          <w:p>
            <w:r>
              <w:t>توزيع</w:t>
            </w:r>
          </w:p>
        </w:tc>
        <w:tc>
          <w:tcPr>
            <w:tcW w:type="dxa" w:w="1234"/>
          </w:tcPr>
          <w:p>
            <w:r>
              <w:t>ماتريكس</w:t>
            </w:r>
          </w:p>
        </w:tc>
        <w:tc>
          <w:tcPr>
            <w:tcW w:type="dxa" w:w="1234"/>
          </w:tcPr>
          <w:p>
            <w:r>
              <w:t>95</w:t>
            </w:r>
          </w:p>
        </w:tc>
        <w:tc>
          <w:tcPr>
            <w:tcW w:type="dxa" w:w="1234"/>
          </w:tcPr>
          <w:p>
            <w:r>
              <w:t>22.914</w:t>
            </w:r>
          </w:p>
        </w:tc>
        <w:tc>
          <w:tcPr>
            <w:tcW w:type="dxa" w:w="1234"/>
          </w:tcPr>
          <w:p>
            <w:r>
              <w:t>9.663</w:t>
            </w:r>
          </w:p>
        </w:tc>
        <w:tc>
          <w:tcPr>
            <w:tcW w:type="dxa" w:w="1234"/>
          </w:tcPr>
          <w:p>
            <w:r>
              <w:t>79.071</w:t>
            </w:r>
          </w:p>
        </w:tc>
      </w:tr>
      <w:tr>
        <w:tc>
          <w:tcPr>
            <w:tcW w:type="dxa" w:w="1234"/>
          </w:tcPr>
          <w:p>
            <w:r>
              <w:t>خمس-عُقد</w:t>
            </w:r>
          </w:p>
        </w:tc>
        <w:tc>
          <w:tcPr>
            <w:tcW w:type="dxa" w:w="1234"/>
          </w:tcPr>
          <w:p>
            <w:r>
              <w:t>يدوي</w:t>
            </w:r>
          </w:p>
        </w:tc>
        <w:tc>
          <w:tcPr>
            <w:tcW w:type="dxa" w:w="1234"/>
          </w:tcPr>
          <w:p>
            <w:r>
              <w:t>فاكتوريال</w:t>
            </w:r>
          </w:p>
        </w:tc>
        <w:tc>
          <w:tcPr>
            <w:tcW w:type="dxa" w:w="1234"/>
          </w:tcPr>
          <w:p>
            <w:r>
              <w:t>21</w:t>
            </w:r>
          </w:p>
        </w:tc>
        <w:tc>
          <w:tcPr>
            <w:tcW w:type="dxa" w:w="1234"/>
          </w:tcPr>
          <w:p>
            <w:r>
              <w:t>1.199</w:t>
            </w:r>
          </w:p>
        </w:tc>
        <w:tc>
          <w:tcPr>
            <w:tcW w:type="dxa" w:w="1234"/>
          </w:tcPr>
          <w:p>
            <w:r>
              <w:t>0.957</w:t>
            </w:r>
          </w:p>
        </w:tc>
        <w:tc>
          <w:tcPr>
            <w:tcW w:type="dxa" w:w="1234"/>
          </w:tcPr>
          <w:p>
            <w:r>
              <w:t>2.545</w:t>
            </w:r>
          </w:p>
        </w:tc>
      </w:tr>
      <w:tr>
        <w:tc>
          <w:tcPr>
            <w:tcW w:type="dxa" w:w="1234"/>
          </w:tcPr>
          <w:p>
            <w:r>
              <w:t>خمس-عُقد</w:t>
            </w:r>
          </w:p>
        </w:tc>
        <w:tc>
          <w:tcPr>
            <w:tcW w:type="dxa" w:w="1234"/>
          </w:tcPr>
          <w:p>
            <w:r>
              <w:t>يدوي</w:t>
            </w:r>
          </w:p>
        </w:tc>
        <w:tc>
          <w:tcPr>
            <w:tcW w:type="dxa" w:w="1234"/>
          </w:tcPr>
          <w:p>
            <w:r>
              <w:t>ماتريكس</w:t>
            </w:r>
          </w:p>
        </w:tc>
        <w:tc>
          <w:tcPr>
            <w:tcW w:type="dxa" w:w="1234"/>
          </w:tcPr>
          <w:p>
            <w:r>
              <w:t>21</w:t>
            </w:r>
          </w:p>
        </w:tc>
        <w:tc>
          <w:tcPr>
            <w:tcW w:type="dxa" w:w="1234"/>
          </w:tcPr>
          <w:p>
            <w:r>
              <w:t>6.034</w:t>
            </w:r>
          </w:p>
        </w:tc>
        <w:tc>
          <w:tcPr>
            <w:tcW w:type="dxa" w:w="1234"/>
          </w:tcPr>
          <w:p>
            <w:r>
              <w:t>4.813</w:t>
            </w:r>
          </w:p>
        </w:tc>
        <w:tc>
          <w:tcPr>
            <w:tcW w:type="dxa" w:w="1234"/>
          </w:tcPr>
          <w:p>
            <w:r>
              <w:t>15.898</w:t>
            </w:r>
          </w:p>
        </w:tc>
      </w:tr>
    </w:tbl>
    <w:p>
      <w:r>
        <w:t>للاطلاع التفصيلي يمكن الرجوع إلى الملف summary_three_vs_five_nodes.csv.</w:t>
      </w:r>
    </w:p>
    <w:p>
      <w:pPr>
        <w:pStyle w:val="Heading2"/>
      </w:pPr>
      <w:r>
        <w:t>أبرز الملاحظات التحليلية</w:t>
      </w:r>
    </w:p>
    <w:p>
      <w:pPr>
        <w:pStyle w:val="ListBullet"/>
      </w:pPr>
      <w:r>
        <w:t>فاعلية الأوزان الأوتوماتيكية واضحة في خفض زمن الفاكتوريال في كلا السيناريوهين مقارنةً باليدوي.</w:t>
      </w:r>
    </w:p>
    <w:p>
      <w:pPr>
        <w:pStyle w:val="ListBullet"/>
      </w:pPr>
      <w:r>
        <w:t>تقدّم إستراتيجية التوزيع في ثلاث عقد يعكس قُرب الموارد، بينما يؤدي الانتشار الواسع في خمس عقد إلى تدهور زمن الماتريكس.</w:t>
      </w:r>
    </w:p>
    <w:p>
      <w:pPr>
        <w:pStyle w:val="ListBullet"/>
      </w:pPr>
      <w:r>
        <w:t>ارتفاع قيم الانحراف المعياري والـp95 في سيناريو الخمس عقد يشير إلى تذبذب الأداء وتأثره بظروف الشبكة.</w:t>
      </w:r>
    </w:p>
    <w:p>
      <w:pPr>
        <w:pStyle w:val="ListBullet"/>
      </w:pPr>
      <w:r>
        <w:t>غياب عينات الماتريكس للأتمتة في العنقود الأكبر يتطلب إعادة القياس بعد التأكد من جاهزية أدوات المراقبة.</w:t>
      </w:r>
    </w:p>
    <w:p>
      <w:pPr>
        <w:pStyle w:val="Heading2"/>
      </w:pPr>
      <w:r>
        <w:t>الرسوم البيانية الداعمة</w:t>
      </w:r>
    </w:p>
    <w:p>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mean_duration_by_strategy.png"/>
                    <pic:cNvPicPr/>
                  </pic:nvPicPr>
                  <pic:blipFill>
                    <a:blip r:embed="rId9"/>
                    <a:stretch>
                      <a:fillRect/>
                    </a:stretch>
                  </pic:blipFill>
                  <pic:spPr>
                    <a:xfrm>
                      <a:off x="0" y="0"/>
                      <a:ext cx="5029200" cy="2514600"/>
                    </a:xfrm>
                    <a:prstGeom prst="rect"/>
                  </pic:spPr>
                </pic:pic>
              </a:graphicData>
            </a:graphic>
          </wp:inline>
        </w:drawing>
      </w:r>
    </w:p>
    <w:p>
      <w:pPr>
        <w:pStyle w:val="Caption"/>
      </w:pPr>
      <w:r>
        <w:t>شكل: متوسط زمن التنفيذ لكل إستراتيجية (reports/replay/strategies/three_vs_five_nodes/mean_duration_by_strategy.png)</w:t>
      </w:r>
    </w:p>
    <w:p>
      <w:r>
        <w:drawing>
          <wp:inline xmlns:a="http://schemas.openxmlformats.org/drawingml/2006/main" xmlns:pic="http://schemas.openxmlformats.org/drawingml/2006/picture">
            <wp:extent cx="5029200" cy="2514600"/>
            <wp:docPr id="2" name="Picture 2"/>
            <wp:cNvGraphicFramePr>
              <a:graphicFrameLocks noChangeAspect="1"/>
            </wp:cNvGraphicFramePr>
            <a:graphic>
              <a:graphicData uri="http://schemas.openxmlformats.org/drawingml/2006/picture">
                <pic:pic>
                  <pic:nvPicPr>
                    <pic:cNvPr id="0" name="p95_duration_by_strategy.png"/>
                    <pic:cNvPicPr/>
                  </pic:nvPicPr>
                  <pic:blipFill>
                    <a:blip r:embed="rId10"/>
                    <a:stretch>
                      <a:fillRect/>
                    </a:stretch>
                  </pic:blipFill>
                  <pic:spPr>
                    <a:xfrm>
                      <a:off x="0" y="0"/>
                      <a:ext cx="5029200" cy="2514600"/>
                    </a:xfrm>
                    <a:prstGeom prst="rect"/>
                  </pic:spPr>
                </pic:pic>
              </a:graphicData>
            </a:graphic>
          </wp:inline>
        </w:drawing>
      </w:r>
    </w:p>
    <w:p>
      <w:pPr>
        <w:pStyle w:val="Caption"/>
      </w:pPr>
      <w:r>
        <w:t>شكل: زمن التنفيذ عند 95٪ (reports/replay/strategies/three_vs_five_nodes/p95_duration_by_strategy.png)</w:t>
      </w:r>
    </w:p>
    <w:p>
      <w:r>
        <w:drawing>
          <wp:inline xmlns:a="http://schemas.openxmlformats.org/drawingml/2006/main" xmlns:pic="http://schemas.openxmlformats.org/drawingml/2006/picture">
            <wp:extent cx="5029200" cy="2155371"/>
            <wp:docPr id="3" name="Picture 3"/>
            <wp:cNvGraphicFramePr>
              <a:graphicFrameLocks noChangeAspect="1"/>
            </wp:cNvGraphicFramePr>
            <a:graphic>
              <a:graphicData uri="http://schemas.openxmlformats.org/drawingml/2006/picture">
                <pic:pic>
                  <pic:nvPicPr>
                    <pic:cNvPr id="0" name="duration_distribution_boxplot.png"/>
                    <pic:cNvPicPr/>
                  </pic:nvPicPr>
                  <pic:blipFill>
                    <a:blip r:embed="rId11"/>
                    <a:stretch>
                      <a:fillRect/>
                    </a:stretch>
                  </pic:blipFill>
                  <pic:spPr>
                    <a:xfrm>
                      <a:off x="0" y="0"/>
                      <a:ext cx="5029200" cy="2155371"/>
                    </a:xfrm>
                    <a:prstGeom prst="rect"/>
                  </pic:spPr>
                </pic:pic>
              </a:graphicData>
            </a:graphic>
          </wp:inline>
        </w:drawing>
      </w:r>
    </w:p>
    <w:p>
      <w:pPr>
        <w:pStyle w:val="Caption"/>
      </w:pPr>
      <w:r>
        <w:t>شكل: توزيع أزمنة التنفيذ عبر الإستراتيجيات والسيناريوهات (reports/replay/strategies/three_vs_five_nodes/duration_distribution_boxplot.png)</w:t>
      </w:r>
    </w:p>
    <w:p>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auto_weights_comparison.png"/>
                    <pic:cNvPicPr/>
                  </pic:nvPicPr>
                  <pic:blipFill>
                    <a:blip r:embed="rId12"/>
                    <a:stretch>
                      <a:fillRect/>
                    </a:stretch>
                  </pic:blipFill>
                  <pic:spPr>
                    <a:xfrm>
                      <a:off x="0" y="0"/>
                      <a:ext cx="5029200" cy="3143250"/>
                    </a:xfrm>
                    <a:prstGeom prst="rect"/>
                  </pic:spPr>
                </pic:pic>
              </a:graphicData>
            </a:graphic>
          </wp:inline>
        </w:drawing>
      </w:r>
    </w:p>
    <w:p>
      <w:pPr>
        <w:pStyle w:val="Caption"/>
      </w:pPr>
      <w:r>
        <w:t>شكل: مقارنة أوزان الإستراتيجية الأوتوماتيكية (reports/replay/strategies/three_vs_five_nodes/auto_weights_comparison.png)</w:t>
      </w:r>
    </w:p>
    <w:p>
      <w:pPr>
        <w:pStyle w:val="Heading2"/>
      </w:pPr>
      <w:r>
        <w:t>الخلاصة والتوصيات</w:t>
      </w:r>
    </w:p>
    <w:p>
      <w:r>
        <w:t>تؤكد النتائج أن دمج الأوزان الديناميكية يضمن تحكمًا أفضل بأحمال الفاكتوريال حتى عند توسيع العنقود، بينما تتطلب مهام الماتريكس حلولًا إضافية لتقليل تأثرها بتكاليف الشبكة. يُوصى بإعادة التجارب بعد معالجة ثغرات جمع المقاييس وتحسين سياسات التوزيع في العنقود الأكبر.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