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Weighting Strategy Report</w:t>
      </w:r>
    </w:p>
    <w:p>
      <w:r>
        <w:t>Running ./run_manual_strategy.sh with CPU weight 0.7 and memory weight 0.3 ranked node-02 as the preferred host, pinning most workloads to that node.</w:t>
      </w:r>
    </w:p>
    <w:p>
      <w:pPr>
        <w:pStyle w:val="Heading2"/>
      </w:pPr>
      <w:r>
        <w:t>Metric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Mean (s)</w:t>
            </w:r>
          </w:p>
        </w:tc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0.076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0.460</w:t>
            </w:r>
          </w:p>
        </w:tc>
        <w:tc>
          <w:tcPr>
            <w:tcW w:type="dxa" w:w="2160"/>
          </w:tcPr>
          <w:p>
            <w:r>
              <w:t>0.033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0.101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1.594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2.333</w:t>
            </w:r>
          </w:p>
        </w:tc>
        <w:tc>
          <w:tcPr>
            <w:tcW w:type="dxa" w:w="2160"/>
          </w:tcPr>
          <w:p>
            <w:r>
              <w:t>0.110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7.243</w:t>
            </w:r>
          </w:p>
        </w:tc>
        <w:tc>
          <w:tcPr>
            <w:tcW w:type="dxa" w:w="2160"/>
          </w:tcPr>
          <w:p>
            <w:r>
              <w:t>2.752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3.060</w:t>
            </w:r>
          </w:p>
        </w:tc>
        <w:tc>
          <w:tcPr>
            <w:tcW w:type="dxa" w:w="2160"/>
          </w:tcPr>
          <w:p>
            <w:r>
              <w:t>0.422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4.821</w:t>
            </w:r>
          </w:p>
        </w:tc>
        <w:tc>
          <w:tcPr>
            <w:tcW w:type="dxa" w:w="2160"/>
          </w:tcPr>
          <w:p>
            <w:r>
              <w:t>0.219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8.492</w:t>
            </w:r>
          </w:p>
        </w:tc>
        <w:tc>
          <w:tcPr>
            <w:tcW w:type="dxa" w:w="2160"/>
          </w:tcPr>
          <w:p>
            <w:r>
              <w:t>1.037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11.486</w:t>
            </w:r>
          </w:p>
        </w:tc>
        <w:tc>
          <w:tcPr>
            <w:tcW w:type="dxa" w:w="2160"/>
          </w:tcPr>
          <w:p>
            <w:r>
              <w:t>0.727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</w:tbl>
    <w:p>
      <w:r>
        <w:t>Factorial jobs improved slightly, but the majority of services now share node-02, increasing the risk of saturation.</w:t>
      </w:r>
    </w:p>
    <w:p>
      <w:pPr>
        <w:pStyle w:val="Heading2"/>
      </w:pPr>
      <w:r>
        <w:t>Applied Relative Weights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Relative weight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</w:tr>
      <w:tr>
        <w:tc>
          <w:tcPr>
            <w:tcW w:type="dxa" w:w="2880"/>
          </w:tcPr>
          <w:p>
            <w:r>
              <w:t>fact_100k</w:t>
            </w:r>
          </w:p>
        </w:tc>
        <w:tc>
          <w:tcPr>
            <w:tcW w:type="dxa" w:w="2880"/>
          </w:tcPr>
          <w:p>
            <w:r>
              <w:t>0.544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fact_200k</w:t>
            </w:r>
          </w:p>
        </w:tc>
        <w:tc>
          <w:tcPr>
            <w:tcW w:type="dxa" w:w="2880"/>
          </w:tcPr>
          <w:p>
            <w:r>
              <w:t>0.232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fact_300k</w:t>
            </w:r>
          </w:p>
        </w:tc>
        <w:tc>
          <w:tcPr>
            <w:tcW w:type="dxa" w:w="2880"/>
          </w:tcPr>
          <w:p>
            <w:r>
              <w:t>0.111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fact_400k</w:t>
            </w:r>
          </w:p>
        </w:tc>
        <w:tc>
          <w:tcPr>
            <w:tcW w:type="dxa" w:w="2880"/>
          </w:tcPr>
          <w:p>
            <w:r>
              <w:t>0.067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fact_500k</w:t>
            </w:r>
          </w:p>
        </w:tc>
        <w:tc>
          <w:tcPr>
            <w:tcW w:type="dxa" w:w="2880"/>
          </w:tcPr>
          <w:p>
            <w:r>
              <w:t>0.046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matrix_4k</w:t>
            </w:r>
          </w:p>
        </w:tc>
        <w:tc>
          <w:tcPr>
            <w:tcW w:type="dxa" w:w="2880"/>
          </w:tcPr>
          <w:p>
            <w:r>
              <w:t>0.157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matrix_5k</w:t>
            </w:r>
          </w:p>
        </w:tc>
        <w:tc>
          <w:tcPr>
            <w:tcW w:type="dxa" w:w="2880"/>
          </w:tcPr>
          <w:p>
            <w:r>
              <w:t>0.373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matrix_6k</w:t>
            </w:r>
          </w:p>
        </w:tc>
        <w:tc>
          <w:tcPr>
            <w:tcW w:type="dxa" w:w="2880"/>
          </w:tcPr>
          <w:p>
            <w:r>
              <w:t>0.236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matrix_7k</w:t>
            </w:r>
          </w:p>
        </w:tc>
        <w:tc>
          <w:tcPr>
            <w:tcW w:type="dxa" w:w="2880"/>
          </w:tcPr>
          <w:p>
            <w:r>
              <w:t>0.134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matrix_8k</w:t>
            </w:r>
          </w:p>
        </w:tc>
        <w:tc>
          <w:tcPr>
            <w:tcW w:type="dxa" w:w="2880"/>
          </w:tcPr>
          <w:p>
            <w:r>
              <w:t>0.099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r>
        <w:t>The dataset confirms that fixed CPU/MEM ratios were applied to each service.</w:t>
      </w:r>
    </w:p>
    <w:p>
      <w:pPr>
        <w:pStyle w:val="Heading2"/>
      </w:pPr>
      <w:r>
        <w:t>Cluster Snapshots</w:t>
      </w:r>
    </w:p>
    <w:p>
      <w:r>
        <w:t>Primary snapshot highlighting service consolidation on node-02:</w:t>
      </w:r>
    </w:p>
    <w:p>
      <w:r>
        <w:drawing>
          <wp:inline xmlns:a="http://schemas.openxmlformats.org/drawingml/2006/main" xmlns:pic="http://schemas.openxmlformats.org/drawingml/2006/picture">
            <wp:extent cx="5486400" cy="3003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al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Secondary snapshot showing how other nodes retain only monitoring containers after manual placement:</w:t>
      </w:r>
    </w:p>
    <w:p>
      <w:r>
        <w:drawing>
          <wp:inline xmlns:a="http://schemas.openxmlformats.org/drawingml/2006/main" xmlns:pic="http://schemas.openxmlformats.org/drawingml/2006/picture">
            <wp:extent cx="5486400" cy="3285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al_cluster_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Detailed records are available in reports/replay/manual_2025-10-06_005844.xlsx.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