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the Docker Swarm Spread Strategy Outperformed Auto-weighted Placement</w:t>
      </w:r>
    </w:p>
    <w:p>
      <w:r>
        <w:t>This note summarises why the auto-weighted placement strategy underperformed the default Spread policy in our Docker Swarm experiments, even though the reference paper predicted a benefit for weight-aware scheduling.</w:t>
      </w:r>
    </w:p>
    <w:p>
      <w:pPr>
        <w:pStyle w:val="Heading2"/>
      </w:pPr>
      <w:r>
        <w:t>Key Factors</w:t>
      </w:r>
    </w:p>
    <w:p>
      <w:pPr>
        <w:pStyle w:val="ListBullet"/>
      </w:pPr>
      <w:r>
        <w:t>Homogeneous cluster</w:t>
      </w:r>
    </w:p>
    <w:p>
      <w:pPr>
        <w:pStyle w:val="ListBullet2"/>
      </w:pPr>
      <w:r>
        <w:t>All three Docker Swarm nodes in our lab have nearly identical CPU, memory, and storage resources. Because the workloads are short-lived, the default Spread strategy balances tasks evenly, leaving little opportunity for a resource-aware scheduler to gain ground.</w:t>
      </w:r>
    </w:p>
    <w:p>
      <w:pPr>
        <w:pStyle w:val="ListBullet"/>
      </w:pPr>
      <w:r>
        <w:t>Static weight updates</w:t>
      </w:r>
    </w:p>
    <w:p>
      <w:pPr>
        <w:pStyle w:val="ListBullet2"/>
      </w:pPr>
      <w:r>
        <w:t>The Auto-weighted workflow derives task weights from Prometheus averages collected after each replay and applies them only when services are redeployed. It therefore misses transient spikes or live contention, whereas Spread distributes containers immediately without needing historical measurements.</w:t>
      </w:r>
    </w:p>
    <w:p>
      <w:pPr>
        <w:pStyle w:val="ListBullet"/>
      </w:pPr>
      <w:r>
        <w:t>Deployment overhead</w:t>
      </w:r>
    </w:p>
    <w:p>
      <w:pPr>
        <w:pStyle w:val="ListBullet2"/>
      </w:pPr>
      <w:r>
        <w:t>Docker Swarm updates a service by stopping tasks and starting replacements. Each time we push a new weight configuration, the stack experiences a stop–start cycle before the placement changes take effect. Spread avoids this overhead, which exaggerates its apparent lead during short experiments.</w:t>
      </w:r>
    </w:p>
    <w:p>
      <w:pPr>
        <w:pStyle w:val="ListBullet"/>
      </w:pPr>
      <w:r>
        <w:t>Idle resource headroom</w:t>
      </w:r>
    </w:p>
    <w:p>
      <w:pPr>
        <w:pStyle w:val="ListBullet2"/>
      </w:pPr>
      <w:r>
        <w:t>In our environment the services barely touch CPU or memory limits, so every node finishes quickly regardless of its assigned weight. The original paper assumed heterogeneous hardware and longer-running jobs—conditions under which weighted placement becomes advantageous.</w:t>
      </w:r>
    </w:p>
    <w:p>
      <w:pPr>
        <w:pStyle w:val="ListBullet"/>
      </w:pPr>
      <w:r>
        <w:t>Next steps for Auto-weighted</w:t>
      </w:r>
    </w:p>
    <w:p>
      <w:pPr>
        <w:pStyle w:val="ListBullet2"/>
      </w:pPr>
      <w:r>
        <w:t>To unlock the expected gains we should feed live node metrics (CPU%, memory pressure, IO wait) into the weight calculation, update weights more frequently, and test on heterogeneous nodes. These changes would let the Auto-weighted strategy react to real-time load and demonstrate its intended benefit.</w:t>
      </w:r>
    </w:p>
    <w:p>
      <w:r>
        <w:br/>
        <w:t>Prepared on 2025-10-05 as part of the strategy comparison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