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Spread Strategy Report</w:t>
      </w:r>
    </w:p>
    <w:p>
      <w:r>
        <w:t>Services were reset to the native Docker Swarm Spread policy and metrics were collected directly from Prometheus after a short stabilisation period. Raw samples are stored under reports/replay/2worker-node-reports/.</w:t>
      </w:r>
    </w:p>
    <w:p>
      <w:pPr>
        <w:pStyle w:val="Heading2"/>
      </w:pPr>
      <w:r>
        <w:t>Metric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Mean (s)</w:t>
            </w:r>
          </w:p>
        </w:tc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0.029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1.709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3.094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0.592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4.866</w:t>
            </w:r>
          </w:p>
        </w:tc>
        <w:tc>
          <w:tcPr>
            <w:tcW w:type="dxa" w:w="2160"/>
          </w:tcPr>
          <w:p>
            <w:r>
              <w:t>0.651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t>These baseline numbers reflect the three-node lab before introducing any additional weighting logic.</w:t>
      </w:r>
    </w:p>
    <w:p>
      <w:pPr>
        <w:pStyle w:val="Heading2"/>
      </w:pPr>
      <w:r>
        <w:t>Reference Weights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Relative weight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</w:tr>
    </w:tbl>
    <w:p>
      <w:r>
        <w:t>Weights are derived from the exported dataset and are provided for reference only.</w:t>
      </w:r>
    </w:p>
    <w:p>
      <w:pPr>
        <w:pStyle w:val="Heading2"/>
      </w:pPr>
      <w:r>
        <w:t>Cluster Layout</w:t>
      </w:r>
    </w:p>
    <w:p>
      <w:r>
        <w:t>Cluster Visualizer snapshot after applying Spread:</w:t>
      </w:r>
    </w:p>
    <w:p>
      <w:r>
        <w:drawing>
          <wp:inline xmlns:a="http://schemas.openxmlformats.org/drawingml/2006/main" xmlns:pic="http://schemas.openxmlformats.org/drawingml/2006/picture">
            <wp:extent cx="5943600" cy="3253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manager hosts monitoring services while worker nodes keep a balanced mix of factorial and matrix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