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تقرير الاستراتيجية الافتراضية (Spread)</w:t>
      </w:r>
    </w:p>
    <w:p>
      <w:r>
        <w:t>تمت إعادة ضبط الخدمات على سياسة Spread الافتراضية في Docker Swarm ثم جُمعت القياسات مباشرة من Prometheus بعد فترة استقرار قصيرة. العينات الكاملة محفوظة تحت reports/replay/2worker-node-reports/.</w:t>
      </w:r>
    </w:p>
    <w:p>
      <w:pPr>
        <w:pStyle w:val="Heading2"/>
      </w:pPr>
      <w:r>
        <w:t>ملخص القياسات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الخدمة</w:t>
            </w:r>
          </w:p>
        </w:tc>
        <w:tc>
          <w:tcPr>
            <w:tcW w:type="dxa" w:w="2160"/>
          </w:tcPr>
          <w:p>
            <w:r>
              <w:t>متوسط الزمن (ثانية)</w:t>
            </w:r>
          </w:p>
        </w:tc>
        <w:tc>
          <w:tcPr>
            <w:tcW w:type="dxa" w:w="2160"/>
          </w:tcPr>
          <w:p>
            <w:r>
              <w:t>الانحراف المعياري</w:t>
            </w:r>
          </w:p>
        </w:tc>
        <w:tc>
          <w:tcPr>
            <w:tcW w:type="dxa" w:w="2160"/>
          </w:tcPr>
          <w:p>
            <w:r>
              <w:t>عدد العينات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0.029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1.709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3.094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0.592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4.866</w:t>
            </w:r>
          </w:p>
        </w:tc>
        <w:tc>
          <w:tcPr>
            <w:tcW w:type="dxa" w:w="2160"/>
          </w:tcPr>
          <w:p>
            <w:r>
              <w:t>0.651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t>هذه النتائج تمثل الأداء الأساس قبل إضافة أي أوزان أو قيود إضافية.</w:t>
      </w:r>
    </w:p>
    <w:p>
      <w:pPr>
        <w:pStyle w:val="Heading2"/>
      </w:pPr>
      <w:r>
        <w:t>الأوزان المرجعية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الخدمة</w:t>
            </w:r>
          </w:p>
        </w:tc>
        <w:tc>
          <w:tcPr>
            <w:tcW w:type="dxa" w:w="2880"/>
          </w:tcPr>
          <w:p>
            <w:r>
              <w:t>الوزن النسبي</w:t>
            </w:r>
          </w:p>
        </w:tc>
        <w:tc>
          <w:tcPr>
            <w:tcW w:type="dxa" w:w="2880"/>
          </w:tcPr>
          <w:p>
            <w:r>
              <w:t>عدد العينات</w:t>
            </w:r>
          </w:p>
        </w:tc>
      </w:tr>
    </w:tbl>
    <w:p>
      <w:r>
        <w:t>القيم مأخوذة من بيانات التصدير لأغراض المقارنة فقط.</w:t>
      </w:r>
    </w:p>
    <w:p>
      <w:pPr>
        <w:pStyle w:val="Heading2"/>
      </w:pPr>
      <w:r>
        <w:t>توزيع الحاويات</w:t>
      </w:r>
    </w:p>
    <w:p>
      <w:r>
        <w:t>الصورة التالية مأخوذة من Cluster Visualizer بعد تطبيق Spread:</w:t>
      </w:r>
    </w:p>
    <w:p>
      <w:r>
        <w:drawing>
          <wp:inline xmlns:a="http://schemas.openxmlformats.org/drawingml/2006/main" xmlns:pic="http://schemas.openxmlformats.org/drawingml/2006/picture">
            <wp:extent cx="5943600" cy="3253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يستضيف المدير خدمات المراقبة بينما تتوزع حاويات factorial وmatrix على عقد العمال بصورة متوازنة.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