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تقييم استراتيجيات الجدولة</w:t>
      </w:r>
    </w:p>
    <w:p>
      <w:pPr>
        <w:pStyle w:val="Heading2"/>
      </w:pPr>
      <w:r>
        <w:t>الملخص</w:t>
      </w:r>
    </w:p>
    <w:p>
      <w:r>
        <w:t>تم تحليل استراتيجيات Spread وManual وAuto على عنقود مكوّن من ثلاث عقد، ثم على عنقود موسّع من خمس عقد. يعمل Spread كخط أساس متوازن، بينما يعتمد Manual على أوزان ثابتة، وتستمد Auto قراراتها من القياسات الحية.</w:t>
      </w:r>
    </w:p>
    <w:p>
      <w:pPr>
        <w:pStyle w:val="Heading2"/>
      </w:pPr>
      <w:r>
        <w:t>السيناريو الأول (3 عقد)</w:t>
      </w:r>
    </w:p>
    <w:p>
      <w:r>
        <w:t>البيئة تضم مديرًا وعقدتي عمل مع حمل factorial/matrix محدود.</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الخدمة</w:t>
            </w:r>
          </w:p>
        </w:tc>
        <w:tc>
          <w:tcPr>
            <w:tcW w:type="dxa" w:w="2160"/>
          </w:tcPr>
          <w:p>
            <w:r>
              <w:t>متوسط الزمن (ثانية)</w:t>
            </w:r>
          </w:p>
        </w:tc>
        <w:tc>
          <w:tcPr>
            <w:tcW w:type="dxa" w:w="2160"/>
          </w:tcPr>
          <w:p>
            <w:r>
              <w:t>الانحراف المعياري</w:t>
            </w:r>
          </w:p>
        </w:tc>
        <w:tc>
          <w:tcPr>
            <w:tcW w:type="dxa" w:w="2160"/>
          </w:tcPr>
          <w:p>
            <w:r>
              <w:t>عدد العينات</w:t>
            </w:r>
          </w:p>
        </w:tc>
      </w:tr>
      <w:tr>
        <w:tc>
          <w:tcPr>
            <w:tcW w:type="dxa" w:w="2160"/>
          </w:tcPr>
          <w:p>
            <w:r>
              <w:t>fact_100k</w:t>
            </w:r>
          </w:p>
        </w:tc>
        <w:tc>
          <w:tcPr>
            <w:tcW w:type="dxa" w:w="2160"/>
          </w:tcPr>
          <w:p>
            <w:r>
              <w:t>0.202</w:t>
            </w:r>
          </w:p>
        </w:tc>
        <w:tc>
          <w:tcPr>
            <w:tcW w:type="dxa" w:w="2160"/>
          </w:tcPr>
          <w:p>
            <w:r>
              <w:t>0.029</w:t>
            </w:r>
          </w:p>
        </w:tc>
        <w:tc>
          <w:tcPr>
            <w:tcW w:type="dxa" w:w="2160"/>
          </w:tcPr>
          <w:p>
            <w:r>
              <w:t>12</w:t>
            </w:r>
          </w:p>
        </w:tc>
      </w:tr>
      <w:tr>
        <w:tc>
          <w:tcPr>
            <w:tcW w:type="dxa" w:w="2160"/>
          </w:tcPr>
          <w:p>
            <w:r>
              <w:t>fact_300k</w:t>
            </w:r>
          </w:p>
        </w:tc>
        <w:tc>
          <w:tcPr>
            <w:tcW w:type="dxa" w:w="2160"/>
          </w:tcPr>
          <w:p>
            <w:r>
              <w:t>1.709</w:t>
            </w:r>
          </w:p>
        </w:tc>
        <w:tc>
          <w:tcPr>
            <w:tcW w:type="dxa" w:w="2160"/>
          </w:tcPr>
          <w:p>
            <w:r>
              <w:t>0.414</w:t>
            </w:r>
          </w:p>
        </w:tc>
        <w:tc>
          <w:tcPr>
            <w:tcW w:type="dxa" w:w="2160"/>
          </w:tcPr>
          <w:p>
            <w:r>
              <w:t>11</w:t>
            </w:r>
          </w:p>
        </w:tc>
      </w:tr>
      <w:tr>
        <w:tc>
          <w:tcPr>
            <w:tcW w:type="dxa" w:w="2160"/>
          </w:tcPr>
          <w:p>
            <w:r>
              <w:t>fact_500k</w:t>
            </w:r>
          </w:p>
        </w:tc>
        <w:tc>
          <w:tcPr>
            <w:tcW w:type="dxa" w:w="2160"/>
          </w:tcPr>
          <w:p>
            <w:r>
              <w:t>3.094</w:t>
            </w:r>
          </w:p>
        </w:tc>
        <w:tc>
          <w:tcPr>
            <w:tcW w:type="dxa" w:w="2160"/>
          </w:tcPr>
          <w:p>
            <w:r>
              <w:t>0.242</w:t>
            </w:r>
          </w:p>
        </w:tc>
        <w:tc>
          <w:tcPr>
            <w:tcW w:type="dxa" w:w="2160"/>
          </w:tcPr>
          <w:p>
            <w:r>
              <w:t>11</w:t>
            </w:r>
          </w:p>
        </w:tc>
      </w:tr>
      <w:tr>
        <w:tc>
          <w:tcPr>
            <w:tcW w:type="dxa" w:w="2160"/>
          </w:tcPr>
          <w:p>
            <w:r>
              <w:t>matrix_4k</w:t>
            </w:r>
          </w:p>
        </w:tc>
        <w:tc>
          <w:tcPr>
            <w:tcW w:type="dxa" w:w="2160"/>
          </w:tcPr>
          <w:p>
            <w:r>
              <w:t>4.108</w:t>
            </w:r>
          </w:p>
        </w:tc>
        <w:tc>
          <w:tcPr>
            <w:tcW w:type="dxa" w:w="2160"/>
          </w:tcPr>
          <w:p>
            <w:r>
              <w:t>0.592</w:t>
            </w:r>
          </w:p>
        </w:tc>
        <w:tc>
          <w:tcPr>
            <w:tcW w:type="dxa" w:w="2160"/>
          </w:tcPr>
          <w:p>
            <w:r>
              <w:t>11</w:t>
            </w:r>
          </w:p>
        </w:tc>
      </w:tr>
      <w:tr>
        <w:tc>
          <w:tcPr>
            <w:tcW w:type="dxa" w:w="2160"/>
          </w:tcPr>
          <w:p>
            <w:r>
              <w:t>matrix_5k</w:t>
            </w:r>
          </w:p>
        </w:tc>
        <w:tc>
          <w:tcPr>
            <w:tcW w:type="dxa" w:w="2160"/>
          </w:tcPr>
          <w:p>
            <w:r>
              <w:t>4.866</w:t>
            </w:r>
          </w:p>
        </w:tc>
        <w:tc>
          <w:tcPr>
            <w:tcW w:type="dxa" w:w="2160"/>
          </w:tcPr>
          <w:p>
            <w:r>
              <w:t>0.651</w:t>
            </w:r>
          </w:p>
        </w:tc>
        <w:tc>
          <w:tcPr>
            <w:tcW w:type="dxa" w:w="2160"/>
          </w:tcPr>
          <w:p>
            <w:r>
              <w:t>12</w:t>
            </w:r>
          </w:p>
        </w:tc>
      </w:tr>
    </w:tbl>
    <w:p>
      <w:r>
        <w:t>Manual يوفر مكاسب بسيطة أقل من 2٪، بينما Auto يخفض زمن matrix_4k بنحو 63٪.</w:t>
      </w:r>
    </w:p>
    <w:p>
      <w:pPr>
        <w:pStyle w:val="Heading2"/>
      </w:pPr>
      <w:r>
        <w:t>السيناريو الثاني (5 عقد)</w:t>
      </w:r>
    </w:p>
    <w:p>
      <w:r>
        <w:t>أضيفت خدمات factorial 200k/400k والمصفوفات 6k/7k/8k بعد تعزيز الموارد.</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الخدمة</w:t>
            </w:r>
          </w:p>
        </w:tc>
        <w:tc>
          <w:tcPr>
            <w:tcW w:type="dxa" w:w="2160"/>
          </w:tcPr>
          <w:p>
            <w:r>
              <w:t>متوسط الزمن (ثانية)</w:t>
            </w:r>
          </w:p>
        </w:tc>
        <w:tc>
          <w:tcPr>
            <w:tcW w:type="dxa" w:w="2160"/>
          </w:tcPr>
          <w:p>
            <w:r>
              <w:t>الانحراف المعياري</w:t>
            </w:r>
          </w:p>
        </w:tc>
        <w:tc>
          <w:tcPr>
            <w:tcW w:type="dxa" w:w="2160"/>
          </w:tcPr>
          <w:p>
            <w:r>
              <w:t>عدد العينات</w:t>
            </w:r>
          </w:p>
        </w:tc>
      </w:tr>
      <w:tr>
        <w:tc>
          <w:tcPr>
            <w:tcW w:type="dxa" w:w="2160"/>
          </w:tcPr>
          <w:p>
            <w:r>
              <w:t>fact_100k</w:t>
            </w:r>
          </w:p>
        </w:tc>
        <w:tc>
          <w:tcPr>
            <w:tcW w:type="dxa" w:w="2160"/>
          </w:tcPr>
          <w:p>
            <w:r>
              <w:t>0.198</w:t>
            </w:r>
          </w:p>
        </w:tc>
        <w:tc>
          <w:tcPr>
            <w:tcW w:type="dxa" w:w="2160"/>
          </w:tcPr>
          <w:p>
            <w:r>
              <w:t>0.086</w:t>
            </w:r>
          </w:p>
        </w:tc>
        <w:tc>
          <w:tcPr>
            <w:tcW w:type="dxa" w:w="2160"/>
          </w:tcPr>
          <w:p>
            <w:r>
              <w:t>21</w:t>
            </w:r>
          </w:p>
        </w:tc>
      </w:tr>
      <w:tr>
        <w:tc>
          <w:tcPr>
            <w:tcW w:type="dxa" w:w="2160"/>
          </w:tcPr>
          <w:p>
            <w:r>
              <w:t>fact_200k</w:t>
            </w:r>
          </w:p>
        </w:tc>
        <w:tc>
          <w:tcPr>
            <w:tcW w:type="dxa" w:w="2160"/>
          </w:tcPr>
          <w:p>
            <w:r>
              <w:t>0.462</w:t>
            </w:r>
          </w:p>
        </w:tc>
        <w:tc>
          <w:tcPr>
            <w:tcW w:type="dxa" w:w="2160"/>
          </w:tcPr>
          <w:p>
            <w:r>
              <w:t>0.038</w:t>
            </w:r>
          </w:p>
        </w:tc>
        <w:tc>
          <w:tcPr>
            <w:tcW w:type="dxa" w:w="2160"/>
          </w:tcPr>
          <w:p>
            <w:r>
              <w:t>21</w:t>
            </w:r>
          </w:p>
        </w:tc>
      </w:tr>
      <w:tr>
        <w:tc>
          <w:tcPr>
            <w:tcW w:type="dxa" w:w="2160"/>
          </w:tcPr>
          <w:p>
            <w:r>
              <w:t>fact_300k</w:t>
            </w:r>
          </w:p>
        </w:tc>
        <w:tc>
          <w:tcPr>
            <w:tcW w:type="dxa" w:w="2160"/>
          </w:tcPr>
          <w:p>
            <w:r>
              <w:t>0.960</w:t>
            </w:r>
          </w:p>
        </w:tc>
        <w:tc>
          <w:tcPr>
            <w:tcW w:type="dxa" w:w="2160"/>
          </w:tcPr>
          <w:p>
            <w:r>
              <w:t>0.102</w:t>
            </w:r>
          </w:p>
        </w:tc>
        <w:tc>
          <w:tcPr>
            <w:tcW w:type="dxa" w:w="2160"/>
          </w:tcPr>
          <w:p>
            <w:r>
              <w:t>21</w:t>
            </w:r>
          </w:p>
        </w:tc>
      </w:tr>
      <w:tr>
        <w:tc>
          <w:tcPr>
            <w:tcW w:type="dxa" w:w="2160"/>
          </w:tcPr>
          <w:p>
            <w:r>
              <w:t>fact_400k</w:t>
            </w:r>
          </w:p>
        </w:tc>
        <w:tc>
          <w:tcPr>
            <w:tcW w:type="dxa" w:w="2160"/>
          </w:tcPr>
          <w:p>
            <w:r>
              <w:t>1.576</w:t>
            </w:r>
          </w:p>
        </w:tc>
        <w:tc>
          <w:tcPr>
            <w:tcW w:type="dxa" w:w="2160"/>
          </w:tcPr>
          <w:p>
            <w:r>
              <w:t>0.087</w:t>
            </w:r>
          </w:p>
        </w:tc>
        <w:tc>
          <w:tcPr>
            <w:tcW w:type="dxa" w:w="2160"/>
          </w:tcPr>
          <w:p>
            <w:r>
              <w:t>21</w:t>
            </w:r>
          </w:p>
        </w:tc>
      </w:tr>
      <w:tr>
        <w:tc>
          <w:tcPr>
            <w:tcW w:type="dxa" w:w="2160"/>
          </w:tcPr>
          <w:p>
            <w:r>
              <w:t>fact_500k</w:t>
            </w:r>
          </w:p>
        </w:tc>
        <w:tc>
          <w:tcPr>
            <w:tcW w:type="dxa" w:w="2160"/>
          </w:tcPr>
          <w:p>
            <w:r>
              <w:t>2.295</w:t>
            </w:r>
          </w:p>
        </w:tc>
        <w:tc>
          <w:tcPr>
            <w:tcW w:type="dxa" w:w="2160"/>
          </w:tcPr>
          <w:p>
            <w:r>
              <w:t>0.137</w:t>
            </w:r>
          </w:p>
        </w:tc>
        <w:tc>
          <w:tcPr>
            <w:tcW w:type="dxa" w:w="2160"/>
          </w:tcPr>
          <w:p>
            <w:r>
              <w:t>21</w:t>
            </w:r>
          </w:p>
        </w:tc>
      </w:tr>
      <w:tr>
        <w:tc>
          <w:tcPr>
            <w:tcW w:type="dxa" w:w="2160"/>
          </w:tcPr>
          <w:p>
            <w:r>
              <w:t>matrix_4k</w:t>
            </w:r>
          </w:p>
        </w:tc>
        <w:tc>
          <w:tcPr>
            <w:tcW w:type="dxa" w:w="2160"/>
          </w:tcPr>
          <w:p>
            <w:r>
              <w:t>7.610</w:t>
            </w:r>
          </w:p>
        </w:tc>
        <w:tc>
          <w:tcPr>
            <w:tcW w:type="dxa" w:w="2160"/>
          </w:tcPr>
          <w:p>
            <w:r>
              <w:t>2.736</w:t>
            </w:r>
          </w:p>
        </w:tc>
        <w:tc>
          <w:tcPr>
            <w:tcW w:type="dxa" w:w="2160"/>
          </w:tcPr>
          <w:p>
            <w:r>
              <w:t>21</w:t>
            </w:r>
          </w:p>
        </w:tc>
      </w:tr>
      <w:tr>
        <w:tc>
          <w:tcPr>
            <w:tcW w:type="dxa" w:w="2160"/>
          </w:tcPr>
          <w:p>
            <w:r>
              <w:t>matrix_5k</w:t>
            </w:r>
          </w:p>
        </w:tc>
        <w:tc>
          <w:tcPr>
            <w:tcW w:type="dxa" w:w="2160"/>
          </w:tcPr>
          <w:p>
            <w:r>
              <w:t>3.125</w:t>
            </w:r>
          </w:p>
        </w:tc>
        <w:tc>
          <w:tcPr>
            <w:tcW w:type="dxa" w:w="2160"/>
          </w:tcPr>
          <w:p>
            <w:r>
              <w:t>0.434</w:t>
            </w:r>
          </w:p>
        </w:tc>
        <w:tc>
          <w:tcPr>
            <w:tcW w:type="dxa" w:w="2160"/>
          </w:tcPr>
          <w:p>
            <w:r>
              <w:t>21</w:t>
            </w:r>
          </w:p>
        </w:tc>
      </w:tr>
      <w:tr>
        <w:tc>
          <w:tcPr>
            <w:tcW w:type="dxa" w:w="2160"/>
          </w:tcPr>
          <w:p>
            <w:r>
              <w:t>matrix_6k</w:t>
            </w:r>
          </w:p>
        </w:tc>
        <w:tc>
          <w:tcPr>
            <w:tcW w:type="dxa" w:w="2160"/>
          </w:tcPr>
          <w:p>
            <w:r>
              <w:t>6.473</w:t>
            </w:r>
          </w:p>
        </w:tc>
        <w:tc>
          <w:tcPr>
            <w:tcW w:type="dxa" w:w="2160"/>
          </w:tcPr>
          <w:p>
            <w:r>
              <w:t>4.975</w:t>
            </w:r>
          </w:p>
        </w:tc>
        <w:tc>
          <w:tcPr>
            <w:tcW w:type="dxa" w:w="2160"/>
          </w:tcPr>
          <w:p>
            <w:r>
              <w:t>20</w:t>
            </w:r>
          </w:p>
        </w:tc>
      </w:tr>
      <w:tr>
        <w:tc>
          <w:tcPr>
            <w:tcW w:type="dxa" w:w="2160"/>
          </w:tcPr>
          <w:p>
            <w:r>
              <w:t>matrix_7k</w:t>
            </w:r>
          </w:p>
        </w:tc>
        <w:tc>
          <w:tcPr>
            <w:tcW w:type="dxa" w:w="2160"/>
          </w:tcPr>
          <w:p>
            <w:r>
              <w:t>8.644</w:t>
            </w:r>
          </w:p>
        </w:tc>
        <w:tc>
          <w:tcPr>
            <w:tcW w:type="dxa" w:w="2160"/>
          </w:tcPr>
          <w:p>
            <w:r>
              <w:t>1.068</w:t>
            </w:r>
          </w:p>
        </w:tc>
        <w:tc>
          <w:tcPr>
            <w:tcW w:type="dxa" w:w="2160"/>
          </w:tcPr>
          <w:p>
            <w:r>
              <w:t>21</w:t>
            </w:r>
          </w:p>
        </w:tc>
      </w:tr>
      <w:tr>
        <w:tc>
          <w:tcPr>
            <w:tcW w:type="dxa" w:w="2160"/>
          </w:tcPr>
          <w:p>
            <w:r>
              <w:t>matrix_8k</w:t>
            </w:r>
          </w:p>
        </w:tc>
        <w:tc>
          <w:tcPr>
            <w:tcW w:type="dxa" w:w="2160"/>
          </w:tcPr>
          <w:p>
            <w:r>
              <w:t>15.199</w:t>
            </w:r>
          </w:p>
        </w:tc>
        <w:tc>
          <w:tcPr>
            <w:tcW w:type="dxa" w:w="2160"/>
          </w:tcPr>
          <w:p>
            <w:r>
              <w:t>9.001</w:t>
            </w:r>
          </w:p>
        </w:tc>
        <w:tc>
          <w:tcPr>
            <w:tcW w:type="dxa" w:w="2160"/>
          </w:tcPr>
          <w:p>
            <w:r>
              <w:t>20</w:t>
            </w:r>
          </w:p>
        </w:tc>
      </w:tr>
    </w:tbl>
    <w:p>
      <w:r>
        <w:t>Manual يحسن مهام الذاكرة لكن يثقل node-02، في حين أن Auto يستغل العقد الجديدة ويخفض زمن matrix_6k وmatrix_8k بأكثر من 25٪.</w:t>
      </w:r>
    </w:p>
    <w:p>
      <w:pPr>
        <w:pStyle w:val="Heading2"/>
      </w:pPr>
      <w:r>
        <w:t>الخلاصة</w:t>
      </w:r>
    </w:p>
    <w:p>
      <w:pPr>
        <w:pStyle w:val="ListBullet"/>
      </w:pPr>
      <w:r>
        <w:t>Spread قاعدة مستقرة لكنها ليست أسرع خيار.</w:t>
      </w:r>
    </w:p>
    <w:p>
      <w:pPr>
        <w:pStyle w:val="ListBullet"/>
      </w:pPr>
      <w:r>
        <w:t>Manual يحتاج إعادة ضبط للأوزان وفق قدرات العقد.</w:t>
      </w:r>
    </w:p>
    <w:p>
      <w:pPr>
        <w:pStyle w:val="ListBullet"/>
      </w:pPr>
      <w:r>
        <w:t>Auto هو الأكثر توازناً عند توسعة العنقود أو إضافة خدمات كثيفة الذاكرة.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