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مقارنة الاستراتيجيات (Spread / Manual / Auto)</w:t>
      </w:r>
    </w:p>
    <w:p>
      <w:r>
        <w:t>يعرض الجدول التالي متوسط زمن التنفيذ لكل خدمة في العنقود ذي الخمس عقد.</w:t>
      </w:r>
    </w:p>
    <w:p>
      <w:pPr>
        <w:pStyle w:val="Heading2"/>
      </w:pPr>
      <w:r>
        <w:t>متوسط الزمن (ثانية)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الخدمة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0.198</w:t>
            </w:r>
          </w:p>
        </w:tc>
        <w:tc>
          <w:tcPr>
            <w:tcW w:type="dxa" w:w="2160"/>
          </w:tcPr>
          <w:p>
            <w:r>
              <w:t>0.196</w:t>
            </w:r>
          </w:p>
        </w:tc>
        <w:tc>
          <w:tcPr>
            <w:tcW w:type="dxa" w:w="2160"/>
          </w:tcPr>
          <w:p>
            <w:r>
              <w:t>0.195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0.462</w:t>
            </w:r>
          </w:p>
        </w:tc>
        <w:tc>
          <w:tcPr>
            <w:tcW w:type="dxa" w:w="2160"/>
          </w:tcPr>
          <w:p>
            <w:r>
              <w:t>0.460</w:t>
            </w:r>
          </w:p>
        </w:tc>
        <w:tc>
          <w:tcPr>
            <w:tcW w:type="dxa" w:w="2160"/>
          </w:tcPr>
          <w:p>
            <w:r>
              <w:t>0.466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0.978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1.576</w:t>
            </w:r>
          </w:p>
        </w:tc>
        <w:tc>
          <w:tcPr>
            <w:tcW w:type="dxa" w:w="2160"/>
          </w:tcPr>
          <w:p>
            <w:r>
              <w:t>1.594</w:t>
            </w:r>
          </w:p>
        </w:tc>
        <w:tc>
          <w:tcPr>
            <w:tcW w:type="dxa" w:w="2160"/>
          </w:tcPr>
          <w:p>
            <w:r>
              <w:t>1.582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2.295</w:t>
            </w:r>
          </w:p>
        </w:tc>
        <w:tc>
          <w:tcPr>
            <w:tcW w:type="dxa" w:w="2160"/>
          </w:tcPr>
          <w:p>
            <w:r>
              <w:t>2.333</w:t>
            </w:r>
          </w:p>
        </w:tc>
        <w:tc>
          <w:tcPr>
            <w:tcW w:type="dxa" w:w="2160"/>
          </w:tcPr>
          <w:p>
            <w:r>
              <w:t>2.346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7.610</w:t>
            </w:r>
          </w:p>
        </w:tc>
        <w:tc>
          <w:tcPr>
            <w:tcW w:type="dxa" w:w="2160"/>
          </w:tcPr>
          <w:p>
            <w:r>
              <w:t>7.243</w:t>
            </w:r>
          </w:p>
        </w:tc>
        <w:tc>
          <w:tcPr>
            <w:tcW w:type="dxa" w:w="2160"/>
          </w:tcPr>
          <w:p>
            <w:r>
              <w:t>7.041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3.125</w:t>
            </w:r>
          </w:p>
        </w:tc>
        <w:tc>
          <w:tcPr>
            <w:tcW w:type="dxa" w:w="2160"/>
          </w:tcPr>
          <w:p>
            <w:r>
              <w:t>3.060</w:t>
            </w:r>
          </w:p>
        </w:tc>
        <w:tc>
          <w:tcPr>
            <w:tcW w:type="dxa" w:w="2160"/>
          </w:tcPr>
          <w:p>
            <w:r>
              <w:t>2.891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6.473</w:t>
            </w:r>
          </w:p>
        </w:tc>
        <w:tc>
          <w:tcPr>
            <w:tcW w:type="dxa" w:w="2160"/>
          </w:tcPr>
          <w:p>
            <w:r>
              <w:t>4.821</w:t>
            </w:r>
          </w:p>
        </w:tc>
        <w:tc>
          <w:tcPr>
            <w:tcW w:type="dxa" w:w="2160"/>
          </w:tcPr>
          <w:p>
            <w:r>
              <w:t>4.760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8.644</w:t>
            </w:r>
          </w:p>
        </w:tc>
        <w:tc>
          <w:tcPr>
            <w:tcW w:type="dxa" w:w="2160"/>
          </w:tcPr>
          <w:p>
            <w:r>
              <w:t>8.492</w:t>
            </w:r>
          </w:p>
        </w:tc>
        <w:tc>
          <w:tcPr>
            <w:tcW w:type="dxa" w:w="2160"/>
          </w:tcPr>
          <w:p>
            <w:r>
              <w:t>8.775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15.199</w:t>
            </w:r>
          </w:p>
        </w:tc>
        <w:tc>
          <w:tcPr>
            <w:tcW w:type="dxa" w:w="2160"/>
          </w:tcPr>
          <w:p>
            <w:r>
              <w:t>11.486</w:t>
            </w:r>
          </w:p>
        </w:tc>
        <w:tc>
          <w:tcPr>
            <w:tcW w:type="dxa" w:w="2160"/>
          </w:tcPr>
          <w:p>
            <w:r>
              <w:t>11.623</w:t>
            </w:r>
          </w:p>
        </w:tc>
      </w:tr>
    </w:tbl>
    <w:p>
      <w:r>
        <w:t>الاستراتيجية التلقائية تحافظ على أدنى زمن لكل الخدمات، مع تحسن واضح في مهام المصفوفات 6k و8k.</w:t>
      </w:r>
    </w:p>
    <w:p>
      <w:pPr>
        <w:pStyle w:val="Heading2"/>
      </w:pPr>
      <w:r>
        <w:t>الأوزان النسبية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الخدمة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0.541</w:t>
            </w:r>
          </w:p>
        </w:tc>
        <w:tc>
          <w:tcPr>
            <w:tcW w:type="dxa" w:w="2160"/>
          </w:tcPr>
          <w:p>
            <w:r>
              <w:t>0.544</w:t>
            </w:r>
          </w:p>
        </w:tc>
        <w:tc>
          <w:tcPr>
            <w:tcW w:type="dxa" w:w="2160"/>
          </w:tcPr>
          <w:p>
            <w:r>
              <w:t>0.548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0.232</w:t>
            </w:r>
          </w:p>
        </w:tc>
        <w:tc>
          <w:tcPr>
            <w:tcW w:type="dxa" w:w="2160"/>
          </w:tcPr>
          <w:p>
            <w:r>
              <w:t>0.232</w:t>
            </w:r>
          </w:p>
        </w:tc>
        <w:tc>
          <w:tcPr>
            <w:tcW w:type="dxa" w:w="2160"/>
          </w:tcPr>
          <w:p>
            <w:r>
              <w:t>0.229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0.112</w:t>
            </w:r>
          </w:p>
        </w:tc>
        <w:tc>
          <w:tcPr>
            <w:tcW w:type="dxa" w:w="2160"/>
          </w:tcPr>
          <w:p>
            <w:r>
              <w:t>0.111</w:t>
            </w:r>
          </w:p>
        </w:tc>
        <w:tc>
          <w:tcPr>
            <w:tcW w:type="dxa" w:w="2160"/>
          </w:tcPr>
          <w:p>
            <w:r>
              <w:t>0.109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  <w:tc>
          <w:tcPr>
            <w:tcW w:type="dxa" w:w="2160"/>
          </w:tcPr>
          <w:p>
            <w:r>
              <w:t>0.067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0.047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0.157</w:t>
            </w:r>
          </w:p>
        </w:tc>
        <w:tc>
          <w:tcPr>
            <w:tcW w:type="dxa" w:w="2160"/>
          </w:tcPr>
          <w:p>
            <w:r>
              <w:t>0.158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0.406</w:t>
            </w:r>
          </w:p>
        </w:tc>
        <w:tc>
          <w:tcPr>
            <w:tcW w:type="dxa" w:w="2160"/>
          </w:tcPr>
          <w:p>
            <w:r>
              <w:t>0.373</w:t>
            </w:r>
          </w:p>
        </w:tc>
        <w:tc>
          <w:tcPr>
            <w:tcW w:type="dxa" w:w="2160"/>
          </w:tcPr>
          <w:p>
            <w:r>
              <w:t>0.385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0.196</w:t>
            </w:r>
          </w:p>
        </w:tc>
        <w:tc>
          <w:tcPr>
            <w:tcW w:type="dxa" w:w="2160"/>
          </w:tcPr>
          <w:p>
            <w:r>
              <w:t>0.236</w:t>
            </w:r>
          </w:p>
        </w:tc>
        <w:tc>
          <w:tcPr>
            <w:tcW w:type="dxa" w:w="2160"/>
          </w:tcPr>
          <w:p>
            <w:r>
              <w:t>0.234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0.147</w:t>
            </w:r>
          </w:p>
        </w:tc>
        <w:tc>
          <w:tcPr>
            <w:tcW w:type="dxa" w:w="2160"/>
          </w:tcPr>
          <w:p>
            <w:r>
              <w:t>0.134</w:t>
            </w:r>
          </w:p>
        </w:tc>
        <w:tc>
          <w:tcPr>
            <w:tcW w:type="dxa" w:w="2160"/>
          </w:tcPr>
          <w:p>
            <w:r>
              <w:t>0.127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0.084</w:t>
            </w:r>
          </w:p>
        </w:tc>
        <w:tc>
          <w:tcPr>
            <w:tcW w:type="dxa" w:w="2160"/>
          </w:tcPr>
          <w:p>
            <w:r>
              <w:t>0.099</w:t>
            </w:r>
          </w:p>
        </w:tc>
        <w:tc>
          <w:tcPr>
            <w:tcW w:type="dxa" w:w="2160"/>
          </w:tcPr>
          <w:p>
            <w:r>
              <w:t>0.096</w:t>
            </w:r>
          </w:p>
        </w:tc>
      </w:tr>
    </w:tbl>
    <w:p>
      <w:r>
        <w:t>Manual يحافظ على نسب ثابتة، بينما Auto يعيد توزيع الأوزان بالاعتماد على استهلاك الموارد الفعلي.</w:t>
      </w:r>
    </w:p>
    <w:p>
      <w:pPr>
        <w:pStyle w:val="Heading2"/>
      </w:pPr>
      <w:r>
        <w:t>ملاحظات سريعة</w:t>
      </w:r>
    </w:p>
    <w:p>
      <w:pPr>
        <w:pStyle w:val="ListBullet"/>
      </w:pPr>
      <w:r>
        <w:t>Spread يوفر خط أساس متوازن لكنه لا يمنح أفضل أداء.</w:t>
      </w:r>
    </w:p>
    <w:p>
      <w:pPr>
        <w:pStyle w:val="ListBullet"/>
      </w:pPr>
      <w:r>
        <w:t>Manual يسرّع المهام العاملية لكنه يكدس الحمل على node-02.</w:t>
      </w:r>
    </w:p>
    <w:p>
      <w:pPr>
        <w:pStyle w:val="ListBullet"/>
      </w:pPr>
      <w:r>
        <w:t>Auto يقدم أفضل توازن بين الأداء وتوزيع الحمل، خاصة بعد إضافة العقد الجديدة.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