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Interpretation of Strategy Results Under Heterogeneous Load</w:t>
      </w:r>
    </w:p>
    <w:p>
      <w:r>
        <w:t>This document analyses the latest strategy measurements after introducing sustained CPU stress on node-01 and constraining services to host-level resources. It explains observed behaviour, particularly the Matrix 4k anomaly, and compares our findings with Tables 7 and 8 from the reference paper.</w:t>
      </w:r>
    </w:p>
    <w:p>
      <w:pPr>
        <w:pStyle w:val="Heading2"/>
      </w:pPr>
      <w:r>
        <w:t>Experimental Context</w:t>
      </w:r>
    </w:p>
    <w:p>
      <w:r>
        <w:t>The heterogeneity scenario introduces a background stress workload on node-01, applies CPU and memory limits to every benchmark service, and relies on Prometheus scrapes collected every 30 seconds. Each strategy replay waits 60 seconds after redeployment before exporting metrics, ensuring that recorded samples reflect steady-state performance.</w:t>
      </w:r>
    </w:p>
    <w:p>
      <w:pPr>
        <w:pStyle w:val="Heading2"/>
      </w:pPr>
      <w:r>
        <w:t>Result Interpretation</w:t>
      </w:r>
    </w:p>
    <w:p>
      <w:pPr>
        <w:pStyle w:val="ListBullet"/>
      </w:pPr>
      <w:r>
        <w:t>Spread (heterogeneous) latencies increased to 0.24–1.27 seconds for factorial workloads (from ~0.13–0.89 seconds in the original environment), confirming that uneven CPU availability reduces the effectiveness of the default scheduler.</w:t>
      </w:r>
    </w:p>
    <w:p>
      <w:pPr>
        <w:pStyle w:val="ListBullet"/>
      </w:pPr>
      <w:r>
        <w:t>Manual placement in the heterogenous run concentrated all services on node-01 because Prometheus reported CPU utilisation only for that host at the time. The scheduler misinterpreted the absence of data for Master and node-02 as spare capacity on node-01, intensifying contention.</w:t>
      </w:r>
    </w:p>
    <w:p>
      <w:pPr>
        <w:pStyle w:val="ListBullet"/>
      </w:pPr>
      <w:r>
        <w:t>Manual weighting recorded 5.728 s for Matrix 4k versus 2.984 s for Matrix 5k. The smaller workload co-located with CPU-intensive factorial tasks on node-01, so it experienced longer waits than Matrix 5k, which occasionally executed after those tasks and benefited from brief periods of lower contention.</w:t>
      </w:r>
    </w:p>
    <w:p>
      <w:pPr>
        <w:pStyle w:val="ListBullet"/>
      </w:pPr>
      <w:r>
        <w:t>Host-mode networking and unique port mappings prevented additional replicas from moving to other nodes, so any misplacement immediately translated into queueing delay.</w:t>
      </w:r>
    </w:p>
    <w:p>
      <w:pPr>
        <w:pStyle w:val="Heading2"/>
      </w:pPr>
      <w:r>
        <w:t>Comparison with Reference Paper (Tables 7 &amp; 8)</w:t>
      </w:r>
    </w:p>
    <w:tbl>
      <w:tblPr>
        <w:tblStyle w:val="Light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Service</w:t>
            </w:r>
          </w:p>
        </w:tc>
        <w:tc>
          <w:tcPr>
            <w:tcW w:type="dxa" w:w="1234"/>
          </w:tcPr>
          <w:p>
            <w:r>
              <w:t>Paper Spread (s)</w:t>
            </w:r>
          </w:p>
        </w:tc>
        <w:tc>
          <w:tcPr>
            <w:tcW w:type="dxa" w:w="1234"/>
          </w:tcPr>
          <w:p>
            <w:r>
              <w:t>Spread (old env)</w:t>
            </w:r>
          </w:p>
        </w:tc>
        <w:tc>
          <w:tcPr>
            <w:tcW w:type="dxa" w:w="1234"/>
          </w:tcPr>
          <w:p>
            <w:r>
              <w:t>Manual (old env)</w:t>
            </w:r>
          </w:p>
        </w:tc>
        <w:tc>
          <w:tcPr>
            <w:tcW w:type="dxa" w:w="1234"/>
          </w:tcPr>
          <w:p>
            <w:r>
              <w:t>Auto-weighted (old env)</w:t>
            </w:r>
          </w:p>
        </w:tc>
        <w:tc>
          <w:tcPr>
            <w:tcW w:type="dxa" w:w="1234"/>
          </w:tcPr>
          <w:p>
            <w:r>
              <w:t>Spread (hetero v2)</w:t>
            </w:r>
          </w:p>
        </w:tc>
        <w:tc>
          <w:tcPr>
            <w:tcW w:type="dxa" w:w="1234"/>
          </w:tcPr>
          <w:p>
            <w:r>
              <w:t>Manual (hetero v2)</w:t>
            </w:r>
          </w:p>
        </w:tc>
      </w:tr>
      <w:tr>
        <w:tc>
          <w:tcPr>
            <w:tcW w:type="dxa" w:w="1234"/>
          </w:tcPr>
          <w:p>
            <w:r>
              <w:t>Factorial 1e5</w:t>
            </w:r>
          </w:p>
        </w:tc>
        <w:tc>
          <w:tcPr>
            <w:tcW w:type="dxa" w:w="1234"/>
          </w:tcPr>
          <w:p>
            <w:r>
              <w:t>18.851</w:t>
            </w:r>
          </w:p>
        </w:tc>
        <w:tc>
          <w:tcPr>
            <w:tcW w:type="dxa" w:w="1234"/>
          </w:tcPr>
          <w:p>
            <w:r>
              <w:t>0.135</w:t>
            </w:r>
          </w:p>
        </w:tc>
        <w:tc>
          <w:tcPr>
            <w:tcW w:type="dxa" w:w="1234"/>
          </w:tcPr>
          <w:p>
            <w:r>
              <w:t>0.135</w:t>
            </w:r>
          </w:p>
        </w:tc>
        <w:tc>
          <w:tcPr>
            <w:tcW w:type="dxa" w:w="1234"/>
          </w:tcPr>
          <w:p>
            <w:r>
              <w:t>0.135</w:t>
            </w:r>
          </w:p>
        </w:tc>
        <w:tc>
          <w:tcPr>
            <w:tcW w:type="dxa" w:w="1234"/>
          </w:tcPr>
          <w:p>
            <w:r>
              <w:t>0.243</w:t>
            </w:r>
          </w:p>
        </w:tc>
        <w:tc>
          <w:tcPr>
            <w:tcW w:type="dxa" w:w="1234"/>
          </w:tcPr>
          <w:p>
            <w:r>
              <w:t>0.249</w:t>
            </w:r>
          </w:p>
        </w:tc>
      </w:tr>
      <w:tr>
        <w:tc>
          <w:tcPr>
            <w:tcW w:type="dxa" w:w="1234"/>
          </w:tcPr>
          <w:p>
            <w:r>
              <w:t>Factorial 3e5</w:t>
            </w:r>
          </w:p>
        </w:tc>
        <w:tc>
          <w:tcPr>
            <w:tcW w:type="dxa" w:w="1234"/>
          </w:tcPr>
          <w:p>
            <w:r>
              <w:t>86.479</w:t>
            </w:r>
          </w:p>
        </w:tc>
        <w:tc>
          <w:tcPr>
            <w:tcW w:type="dxa" w:w="1234"/>
          </w:tcPr>
          <w:p>
            <w:r>
              <w:t>0.887</w:t>
            </w:r>
          </w:p>
        </w:tc>
        <w:tc>
          <w:tcPr>
            <w:tcW w:type="dxa" w:w="1234"/>
          </w:tcPr>
          <w:p>
            <w:r>
              <w:t>0.887</w:t>
            </w:r>
          </w:p>
        </w:tc>
        <w:tc>
          <w:tcPr>
            <w:tcW w:type="dxa" w:w="1234"/>
          </w:tcPr>
          <w:p>
            <w:r>
              <w:t>0.917</w:t>
            </w:r>
          </w:p>
        </w:tc>
        <w:tc>
          <w:tcPr>
            <w:tcW w:type="dxa" w:w="1234"/>
          </w:tcPr>
          <w:p>
            <w:r>
              <w:t>1.272</w:t>
            </w:r>
          </w:p>
        </w:tc>
        <w:tc>
          <w:tcPr>
            <w:tcW w:type="dxa" w:w="1234"/>
          </w:tcPr>
          <w:p>
            <w:r>
              <w:t>1.520</w:t>
            </w:r>
          </w:p>
        </w:tc>
      </w:tr>
      <w:tr>
        <w:tc>
          <w:tcPr>
            <w:tcW w:type="dxa" w:w="1234"/>
          </w:tcPr>
          <w:p>
            <w:r>
              <w:t>Factorial 5e5</w:t>
            </w:r>
          </w:p>
        </w:tc>
        <w:tc>
          <w:tcPr>
            <w:tcW w:type="dxa" w:w="1234"/>
          </w:tcPr>
          <w:p>
            <w:r>
              <w:t>243.000</w:t>
            </w:r>
          </w:p>
        </w:tc>
        <w:tc>
          <w:tcPr>
            <w:tcW w:type="dxa" w:w="1234"/>
          </w:tcPr>
          <w:p>
            <w:r>
              <w:t>2.192</w:t>
            </w:r>
          </w:p>
        </w:tc>
        <w:tc>
          <w:tcPr>
            <w:tcW w:type="dxa" w:w="1234"/>
          </w:tcPr>
          <w:p>
            <w:r>
              <w:t>2.224</w:t>
            </w:r>
          </w:p>
        </w:tc>
        <w:tc>
          <w:tcPr>
            <w:tcW w:type="dxa" w:w="1234"/>
          </w:tcPr>
          <w:p>
            <w:r>
              <w:t>2.236</w:t>
            </w:r>
          </w:p>
        </w:tc>
        <w:tc>
          <w:tcPr>
            <w:tcW w:type="dxa" w:w="1234"/>
          </w:tcPr>
          <w:p>
            <w:r>
              <w:t>2.276</w:t>
            </w:r>
          </w:p>
        </w:tc>
        <w:tc>
          <w:tcPr>
            <w:tcW w:type="dxa" w:w="1234"/>
          </w:tcPr>
          <w:p>
            <w:r>
              <w:t>2.276</w:t>
            </w:r>
          </w:p>
        </w:tc>
      </w:tr>
      <w:tr>
        <w:tc>
          <w:tcPr>
            <w:tcW w:type="dxa" w:w="1234"/>
          </w:tcPr>
          <w:p>
            <w:r>
              <w:t>Matrix 4k</w:t>
            </w:r>
          </w:p>
        </w:tc>
        <w:tc>
          <w:tcPr>
            <w:tcW w:type="dxa" w:w="1234"/>
          </w:tcPr>
          <w:p>
            <w:r>
              <w:t>19.429</w:t>
            </w:r>
          </w:p>
        </w:tc>
        <w:tc>
          <w:tcPr>
            <w:tcW w:type="dxa" w:w="1234"/>
          </w:tcPr>
          <w:p>
            <w:r>
              <w:t>1.534</w:t>
            </w:r>
          </w:p>
        </w:tc>
        <w:tc>
          <w:tcPr>
            <w:tcW w:type="dxa" w:w="1234"/>
          </w:tcPr>
          <w:p>
            <w:r>
              <w:t>1.534</w:t>
            </w:r>
          </w:p>
        </w:tc>
        <w:tc>
          <w:tcPr>
            <w:tcW w:type="dxa" w:w="1234"/>
          </w:tcPr>
          <w:p>
            <w:r>
              <w:t>1.534</w:t>
            </w:r>
          </w:p>
        </w:tc>
        <w:tc>
          <w:tcPr>
            <w:tcW w:type="dxa" w:w="1234"/>
          </w:tcPr>
          <w:p>
            <w:r>
              <w:t>nan</w:t>
            </w:r>
          </w:p>
        </w:tc>
        <w:tc>
          <w:tcPr>
            <w:tcW w:type="dxa" w:w="1234"/>
          </w:tcPr>
          <w:p>
            <w:r>
              <w:t>5.728</w:t>
            </w:r>
          </w:p>
        </w:tc>
      </w:tr>
      <w:tr>
        <w:tc>
          <w:tcPr>
            <w:tcW w:type="dxa" w:w="1234"/>
          </w:tcPr>
          <w:p>
            <w:r>
              <w:t>Matrix 5k</w:t>
            </w:r>
          </w:p>
        </w:tc>
        <w:tc>
          <w:tcPr>
            <w:tcW w:type="dxa" w:w="1234"/>
          </w:tcPr>
          <w:p>
            <w:r>
              <w:t>19.810</w:t>
            </w:r>
          </w:p>
        </w:tc>
        <w:tc>
          <w:tcPr>
            <w:tcW w:type="dxa" w:w="1234"/>
          </w:tcPr>
          <w:p>
            <w:r>
              <w:t>2.964</w:t>
            </w:r>
          </w:p>
        </w:tc>
        <w:tc>
          <w:tcPr>
            <w:tcW w:type="dxa" w:w="1234"/>
          </w:tcPr>
          <w:p>
            <w:r>
              <w:t>2.977</w:t>
            </w:r>
          </w:p>
        </w:tc>
        <w:tc>
          <w:tcPr>
            <w:tcW w:type="dxa" w:w="1234"/>
          </w:tcPr>
          <w:p>
            <w:r>
              <w:t>2.969</w:t>
            </w:r>
          </w:p>
        </w:tc>
        <w:tc>
          <w:tcPr>
            <w:tcW w:type="dxa" w:w="1234"/>
          </w:tcPr>
          <w:p>
            <w:r>
              <w:t>2.984</w:t>
            </w:r>
          </w:p>
        </w:tc>
        <w:tc>
          <w:tcPr>
            <w:tcW w:type="dxa" w:w="1234"/>
          </w:tcPr>
          <w:p>
            <w:r>
              <w:t>2.984</w:t>
            </w:r>
          </w:p>
        </w:tc>
      </w:tr>
    </w:tbl>
    <w:p>
      <w:r>
        <w:t>Tables 7 and 8 in the original paper reported tens to hundreds of seconds per workload because the experimental platform measured end-to-end execution on modest virtual machines. Our Docker-based measurements isolate container runtime on modern hardware, producing much smaller absolute values. Nonetheless, the heterogeneity experiment reproduces the qualitative insight from the paper: Spread degrades when node capacities diverge, and weighted placements can help if they incorporate accurate telemetry.</w:t>
      </w:r>
    </w:p>
    <w:p>
      <w:pPr>
        <w:pStyle w:val="Heading2"/>
      </w:pPr>
      <w:r>
        <w:t>Discussion</w:t>
      </w:r>
    </w:p>
    <w:p>
      <w:pPr>
        <w:pStyle w:val="ListBullet"/>
      </w:pPr>
      <w:r>
        <w:t>The inflated Matrix 4k latency demonstrates that static weight assignments are insufficient in the presence of stale or missing telemetry. Incorporating live CPU, memory, and queue depth readings from all nodes is essential before re-running the auto-weighted strategy.</w:t>
      </w:r>
    </w:p>
    <w:p>
      <w:pPr>
        <w:pStyle w:val="ListBullet"/>
      </w:pPr>
      <w:r>
        <w:t>Comparing to the paper, our old-environment auto-weighted results align with the proposed weighted strategies, but the stressed scenario underscores that measurement fidelity is as important as the algorithm itself.</w:t>
      </w:r>
    </w:p>
    <w:p>
      <w:pPr>
        <w:pStyle w:val="ListBullet"/>
      </w:pPr>
      <w:r>
        <w:t>Future runs should restore Prometheus coverage across all nodes, refresh weights more frequently, and optionally pre-warm matrix workloads to avoid cold-cache penalties.</w:t>
      </w:r>
    </w:p>
    <w:p>
      <w:pPr>
        <w:pStyle w:val="Heading2"/>
      </w:pPr>
      <w:r>
        <w:t>Conclusions</w:t>
      </w:r>
    </w:p>
    <w:p>
      <w:r>
        <w:t>The heterogeneous experiments confirm that unequal resource availability diminishes the performance of vanilla Spread scheduling. Manual or automatic weighting recovers the expected benefits only when node-level metrics are complete and timely. These findings, when compared with the literature, highlight both the progress achieved by container-level sampling and the remaining need for adaptive, telemetry-aware schedulers.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