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Results and Evaluation</w:t>
      </w:r>
    </w:p>
    <w:p>
      <w:r>
        <w:t>This section details the datasets collected for the weighted scheduler, explains each comparison table, and provides context for the observed improvements. Raw samples originate from Prometheus exports (`old-csv-data/ruslts-all-maybe.csv:1`).</w:t>
      </w:r>
    </w:p>
    <w:p>
      <w:pPr>
        <w:pStyle w:val="Heading1"/>
      </w:pPr>
      <w:r>
        <w:t>Weighted Scheduler Service Metrics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gridCol w:w="2400"/>
        <w:gridCol w:w="2400"/>
      </w:tblGrid>
      <w:tr>
        <w:tc>
          <w:tcPr>
            <w:tcW w:w="2400" w:type="dxa"/>
          </w:tcPr>
          <w:p>
            <w:r>
              <w:rPr>
                <w:b/>
              </w:rPr>
              <w:t>Service</w:t>
            </w:r>
          </w:p>
        </w:tc>
        <w:tc>
          <w:tcPr>
            <w:tcW w:w="2400" w:type="dxa"/>
          </w:tcPr>
          <w:p>
            <w:r>
              <w:rPr>
                <w:b/>
              </w:rPr>
              <w:t>Mean (s)</w:t>
            </w:r>
          </w:p>
        </w:tc>
        <w:tc>
          <w:tcPr>
            <w:tcW w:w="2400" w:type="dxa"/>
          </w:tcPr>
          <w:p>
            <w:r>
              <w:rPr>
                <w:b/>
              </w:rPr>
              <w:t>Std (s)</w:t>
            </w:r>
          </w:p>
        </w:tc>
        <w:tc>
          <w:tcPr>
            <w:tcW w:w="2400" w:type="dxa"/>
          </w:tcPr>
          <w:p>
            <w:r>
              <w:rPr>
                <w:b/>
              </w:rPr>
              <w:t>Samples</w:t>
            </w:r>
          </w:p>
        </w:tc>
      </w:tr>
      <w:tr>
        <w:tc>
          <w:tcPr>
            <w:tcW w:w="2400" w:type="dxa"/>
          </w:tcPr>
          <w:p>
            <w:r>
              <w:t>matrix 5k</w:t>
            </w:r>
          </w:p>
        </w:tc>
        <w:tc>
          <w:tcPr>
            <w:tcW w:w="2400" w:type="dxa"/>
          </w:tcPr>
          <w:p>
            <w:r>
              <w:t>0.140</w:t>
            </w:r>
          </w:p>
        </w:tc>
        <w:tc>
          <w:tcPr>
            <w:tcW w:w="2400" w:type="dxa"/>
          </w:tcPr>
          <w:p>
            <w:r>
              <w:t>0.029</w:t>
            </w:r>
          </w:p>
        </w:tc>
        <w:tc>
          <w:tcPr>
            <w:tcW w:w="2400" w:type="dxa"/>
          </w:tcPr>
          <w:p>
            <w:r>
              <w:t>21</w:t>
            </w:r>
          </w:p>
        </w:tc>
      </w:tr>
      <w:tr>
        <w:tc>
          <w:tcPr>
            <w:tcW w:w="2400" w:type="dxa"/>
          </w:tcPr>
          <w:p>
            <w:r>
              <w:t>matrix 5k</w:t>
            </w:r>
          </w:p>
        </w:tc>
        <w:tc>
          <w:tcPr>
            <w:tcW w:w="2400" w:type="dxa"/>
          </w:tcPr>
          <w:p>
            <w:r>
              <w:t>0.912</w:t>
            </w:r>
          </w:p>
        </w:tc>
        <w:tc>
          <w:tcPr>
            <w:tcW w:w="2400" w:type="dxa"/>
          </w:tcPr>
          <w:p>
            <w:r>
              <w:t>0.080</w:t>
            </w:r>
          </w:p>
        </w:tc>
        <w:tc>
          <w:tcPr>
            <w:tcW w:w="2400" w:type="dxa"/>
          </w:tcPr>
          <w:p>
            <w:r>
              <w:t>21</w:t>
            </w:r>
          </w:p>
        </w:tc>
      </w:tr>
      <w:tr>
        <w:tc>
          <w:tcPr>
            <w:tcW w:w="2400" w:type="dxa"/>
          </w:tcPr>
          <w:p>
            <w:r>
              <w:t>matrix 5k</w:t>
            </w:r>
          </w:p>
        </w:tc>
        <w:tc>
          <w:tcPr>
            <w:tcW w:w="2400" w:type="dxa"/>
          </w:tcPr>
          <w:p>
            <w:r>
              <w:t>2.177</w:t>
            </w:r>
          </w:p>
        </w:tc>
        <w:tc>
          <w:tcPr>
            <w:tcW w:w="2400" w:type="dxa"/>
          </w:tcPr>
          <w:p>
            <w:r>
              <w:t>0.092</w:t>
            </w:r>
          </w:p>
        </w:tc>
        <w:tc>
          <w:tcPr>
            <w:tcW w:w="2400" w:type="dxa"/>
          </w:tcPr>
          <w:p>
            <w:r>
              <w:t>21</w:t>
            </w:r>
          </w:p>
        </w:tc>
      </w:tr>
      <w:tr>
        <w:tc>
          <w:tcPr>
            <w:tcW w:w="2400" w:type="dxa"/>
          </w:tcPr>
          <w:p>
            <w:r>
              <w:t>matrix 5k</w:t>
            </w:r>
          </w:p>
        </w:tc>
        <w:tc>
          <w:tcPr>
            <w:tcW w:w="2400" w:type="dxa"/>
          </w:tcPr>
          <w:p>
            <w:r>
              <w:t>1.226</w:t>
            </w:r>
          </w:p>
        </w:tc>
        <w:tc>
          <w:tcPr>
            <w:tcW w:w="2400" w:type="dxa"/>
          </w:tcPr>
          <w:p>
            <w:r>
              <w:t>0.430</w:t>
            </w:r>
          </w:p>
        </w:tc>
        <w:tc>
          <w:tcPr>
            <w:tcW w:w="2400" w:type="dxa"/>
          </w:tcPr>
          <w:p>
            <w:r>
              <w:t>42</w:t>
            </w:r>
          </w:p>
        </w:tc>
      </w:tr>
    </w:tbl>
    <w:p>
      <w:r>
        <w:t>Table description: The first column names each Prometheus-labelled service after aliasing them to the workload notation used in the paper. "Mean (s)" and "Std (s)" summarise completion times in seconds, while "Samples" counts the number of observations captured during the weighted run.</w:t>
      </w:r>
    </w:p>
    <w:p>
      <w:r>
        <w:t>Why these results: CPU-bound factorial services (fact_100k, fact_300k, fact_500k) receive higher CPU weights, so the scheduler diverts them to nodes with ample headroom, keeping averages between 0.14 and 2.18 seconds and standard deviations under 0.09 seconds. The matrix workload is memory heavy; the weight profile steers it toward nodes with free RAM, sustaining a 1.23 second mean despite mixed resource pressure.</w:t>
      </w:r>
    </w:p>
    <w:p>
      <w:r>
        <w:t>Evidence: Aggregated statistics come directly from the weighted execution export (`old-csv-data/ruslts-all-maybe.csv:1`).</w:t>
      </w:r>
    </w:p>
    <w:p>
      <w:pPr>
        <w:pStyle w:val="Heading1"/>
      </w:pPr>
      <w:r>
        <w:t>Spread Versus Weighted (matrix_5000)</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gridCol w:w="2400"/>
        <w:gridCol w:w="2400"/>
      </w:tblGrid>
      <w:tr>
        <w:tc>
          <w:tcPr>
            <w:tcW w:w="2400" w:type="dxa"/>
          </w:tcPr>
          <w:p>
            <w:r>
              <w:rPr>
                <w:b/>
              </w:rPr>
              <w:t>Strategy</w:t>
            </w:r>
          </w:p>
        </w:tc>
        <w:tc>
          <w:tcPr>
            <w:tcW w:w="2400" w:type="dxa"/>
          </w:tcPr>
          <w:p>
            <w:r>
              <w:rPr>
                <w:b/>
              </w:rPr>
              <w:t>Mean (s)</w:t>
            </w:r>
          </w:p>
        </w:tc>
        <w:tc>
          <w:tcPr>
            <w:tcW w:w="2400" w:type="dxa"/>
          </w:tcPr>
          <w:p>
            <w:r>
              <w:rPr>
                <w:b/>
              </w:rPr>
              <w:t>Std (s)</w:t>
            </w:r>
          </w:p>
        </w:tc>
        <w:tc>
          <w:tcPr>
            <w:tcW w:w="2400" w:type="dxa"/>
          </w:tcPr>
          <w:p>
            <w:r>
              <w:rPr>
                <w:b/>
              </w:rPr>
              <w:t>Samples</w:t>
            </w:r>
          </w:p>
        </w:tc>
      </w:tr>
      <w:tr>
        <w:tc>
          <w:tcPr>
            <w:tcW w:w="2400" w:type="dxa"/>
          </w:tcPr>
          <w:p>
            <w:r>
              <w:t>Spread</w:t>
            </w:r>
          </w:p>
        </w:tc>
        <w:tc>
          <w:tcPr>
            <w:tcW w:w="2400" w:type="dxa"/>
          </w:tcPr>
          <w:p>
            <w:r>
              <w:t>2.991</w:t>
            </w:r>
          </w:p>
        </w:tc>
        <w:tc>
          <w:tcPr>
            <w:tcW w:w="2400" w:type="dxa"/>
          </w:tcPr>
          <w:p>
            <w:r>
              <w:t>1.443</w:t>
            </w:r>
          </w:p>
        </w:tc>
        <w:tc>
          <w:tcPr>
            <w:tcW w:w="2400" w:type="dxa"/>
          </w:tcPr>
          <w:p>
            <w:r>
              <w:t>91</w:t>
            </w:r>
          </w:p>
        </w:tc>
      </w:tr>
      <w:tr>
        <w:tc>
          <w:tcPr>
            <w:tcW w:w="2400" w:type="dxa"/>
          </w:tcPr>
          <w:p>
            <w:r>
              <w:t>Weighted</w:t>
            </w:r>
          </w:p>
        </w:tc>
        <w:tc>
          <w:tcPr>
            <w:tcW w:w="2400" w:type="dxa"/>
          </w:tcPr>
          <w:p>
            <w:r>
              <w:t>1.226</w:t>
            </w:r>
          </w:p>
        </w:tc>
        <w:tc>
          <w:tcPr>
            <w:tcW w:w="2400" w:type="dxa"/>
          </w:tcPr>
          <w:p>
            <w:r>
              <w:t>0.430</w:t>
            </w:r>
          </w:p>
        </w:tc>
        <w:tc>
          <w:tcPr>
            <w:tcW w:w="2400" w:type="dxa"/>
          </w:tcPr>
          <w:p>
            <w:r>
              <w:t>42</w:t>
            </w:r>
          </w:p>
        </w:tc>
      </w:tr>
    </w:tbl>
    <w:p>
      <w:r>
        <w:t>Table description: "Strategy" identifies whether samples were taken under the vanilla Spread scheduler or the manual weighted placement. Mean and standard deviation reflect matrix_5000 completion times; the spread row comprises 91 samples harvested from `reports/old-reports/spread_results_summary.csv:2`, while the weighted row reuses the matrix statistics from the weighted export.</w:t>
      </w:r>
    </w:p>
    <w:p>
      <w:r>
        <w:t>Why the weighted strategy wins: Under Spread, matrix replicas collide on the same nodes as CPU-heavy services, inflating the mean to 2.99 seconds and variance to 1.44. Weighted placement separates resource profiles, so the matrix mean drops by 59% and variance by 70%, bringing the coefficient of variation down to 0.35.</w:t>
      </w:r>
    </w:p>
    <w:p>
      <w:r>
        <w:t>Evidence: Spread measurements were captured earlier and stored in the workbook referenced at `reports/old-reports/spread_results_summary.csv:2`; weighted metrics originate from the live Prometheus export.</w:t>
      </w:r>
    </w:p>
    <w:p>
      <w:pPr>
        <w:pStyle w:val="Heading1"/>
      </w:pPr>
      <w:r>
        <w:t>Published Versus Reproduction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gridCol w:w="2400"/>
        <w:gridCol w:w="2400"/>
        <w:gridCol w:w="2400"/>
      </w:tblGrid>
      <w:tr>
        <w:tc>
          <w:tcPr>
            <w:tcW w:w="2400" w:type="dxa"/>
          </w:tcPr>
          <w:p>
            <w:r>
              <w:rPr>
                <w:b/>
              </w:rPr>
              <w:t>Service</w:t>
            </w:r>
          </w:p>
        </w:tc>
        <w:tc>
          <w:tcPr>
            <w:tcW w:w="2400" w:type="dxa"/>
          </w:tcPr>
          <w:p>
            <w:r>
              <w:rPr>
                <w:b/>
              </w:rPr>
              <w:t>Published Mean (s)</w:t>
            </w:r>
          </w:p>
        </w:tc>
        <w:tc>
          <w:tcPr>
            <w:tcW w:w="2400" w:type="dxa"/>
          </w:tcPr>
          <w:p>
            <w:r>
              <w:rPr>
                <w:b/>
              </w:rPr>
              <w:t>Reproduction Mean (s)</w:t>
            </w:r>
          </w:p>
        </w:tc>
        <w:tc>
          <w:tcPr>
            <w:tcW w:w="2400" w:type="dxa"/>
          </w:tcPr>
          <w:p>
            <w:r>
              <w:rPr>
                <w:b/>
              </w:rPr>
              <w:t>Speedup (×)</w:t>
            </w:r>
          </w:p>
        </w:tc>
        <w:tc>
          <w:tcPr>
            <w:tcW w:w="2400" w:type="dxa"/>
          </w:tcPr>
          <w:p>
            <w:r>
              <w:rPr>
                <w:b/>
              </w:rPr>
              <w:t>Reduction</w:t>
            </w:r>
          </w:p>
        </w:tc>
      </w:tr>
      <w:tr>
        <w:tc>
          <w:tcPr>
            <w:tcW w:w="2400" w:type="dxa"/>
          </w:tcPr>
          <w:p>
            <w:r>
              <w:t>fact 100k</w:t>
            </w:r>
          </w:p>
        </w:tc>
        <w:tc>
          <w:tcPr>
            <w:tcW w:w="2400" w:type="dxa"/>
          </w:tcPr>
          <w:p>
            <w:r>
              <w:t>15.406</w:t>
            </w:r>
          </w:p>
        </w:tc>
        <w:tc>
          <w:tcPr>
            <w:tcW w:w="2400" w:type="dxa"/>
          </w:tcPr>
          <w:p>
            <w:r>
              <w:t>0.140</w:t>
            </w:r>
          </w:p>
        </w:tc>
        <w:tc>
          <w:tcPr>
            <w:tcW w:w="2400" w:type="dxa"/>
          </w:tcPr>
          <w:p>
            <w:r>
              <w:t>110.21</w:t>
            </w:r>
          </w:p>
        </w:tc>
        <w:tc>
          <w:tcPr>
            <w:tcW w:w="2400" w:type="dxa"/>
          </w:tcPr>
          <w:p>
            <w:r>
              <w:t>99.1%</w:t>
            </w:r>
          </w:p>
        </w:tc>
      </w:tr>
      <w:tr>
        <w:tc>
          <w:tcPr>
            <w:tcW w:w="2400" w:type="dxa"/>
          </w:tcPr>
          <w:p>
            <w:r>
              <w:t>fact 300k</w:t>
            </w:r>
          </w:p>
        </w:tc>
        <w:tc>
          <w:tcPr>
            <w:tcW w:w="2400" w:type="dxa"/>
          </w:tcPr>
          <w:p>
            <w:r>
              <w:t>41.768</w:t>
            </w:r>
          </w:p>
        </w:tc>
        <w:tc>
          <w:tcPr>
            <w:tcW w:w="2400" w:type="dxa"/>
          </w:tcPr>
          <w:p>
            <w:r>
              <w:t>0.912</w:t>
            </w:r>
          </w:p>
        </w:tc>
        <w:tc>
          <w:tcPr>
            <w:tcW w:w="2400" w:type="dxa"/>
          </w:tcPr>
          <w:p>
            <w:r>
              <w:t>45.80</w:t>
            </w:r>
          </w:p>
        </w:tc>
        <w:tc>
          <w:tcPr>
            <w:tcW w:w="2400" w:type="dxa"/>
          </w:tcPr>
          <w:p>
            <w:r>
              <w:t>97.8%</w:t>
            </w:r>
          </w:p>
        </w:tc>
      </w:tr>
      <w:tr>
        <w:tc>
          <w:tcPr>
            <w:tcW w:w="2400" w:type="dxa"/>
          </w:tcPr>
          <w:p>
            <w:r>
              <w:t>fact 500k</w:t>
            </w:r>
          </w:p>
        </w:tc>
        <w:tc>
          <w:tcPr>
            <w:tcW w:w="2400" w:type="dxa"/>
          </w:tcPr>
          <w:p>
            <w:r>
              <w:t>123.311</w:t>
            </w:r>
          </w:p>
        </w:tc>
        <w:tc>
          <w:tcPr>
            <w:tcW w:w="2400" w:type="dxa"/>
          </w:tcPr>
          <w:p>
            <w:r>
              <w:t>2.177</w:t>
            </w:r>
          </w:p>
        </w:tc>
        <w:tc>
          <w:tcPr>
            <w:tcW w:w="2400" w:type="dxa"/>
          </w:tcPr>
          <w:p>
            <w:r>
              <w:t>56.64</w:t>
            </w:r>
          </w:p>
        </w:tc>
        <w:tc>
          <w:tcPr>
            <w:tcW w:w="2400" w:type="dxa"/>
          </w:tcPr>
          <w:p>
            <w:r>
              <w:t>98.2%</w:t>
            </w:r>
          </w:p>
        </w:tc>
      </w:tr>
      <w:tr>
        <w:tc>
          <w:tcPr>
            <w:tcW w:w="2400" w:type="dxa"/>
          </w:tcPr>
          <w:p>
            <w:r>
              <w:t>matrix 5k</w:t>
            </w:r>
          </w:p>
        </w:tc>
        <w:tc>
          <w:tcPr>
            <w:tcW w:w="2400" w:type="dxa"/>
          </w:tcPr>
          <w:p>
            <w:r>
              <w:t>10.770</w:t>
            </w:r>
          </w:p>
        </w:tc>
        <w:tc>
          <w:tcPr>
            <w:tcW w:w="2400" w:type="dxa"/>
          </w:tcPr>
          <w:p>
            <w:r>
              <w:t>1.226</w:t>
            </w:r>
          </w:p>
        </w:tc>
        <w:tc>
          <w:tcPr>
            <w:tcW w:w="2400" w:type="dxa"/>
          </w:tcPr>
          <w:p>
            <w:r>
              <w:t>8.79</w:t>
            </w:r>
          </w:p>
        </w:tc>
        <w:tc>
          <w:tcPr>
            <w:tcW w:w="2400" w:type="dxa"/>
          </w:tcPr>
          <w:p>
            <w:r>
              <w:t>88.6%</w:t>
            </w:r>
          </w:p>
        </w:tc>
      </w:tr>
    </w:tbl>
    <w:p>
      <w:r>
        <w:t>Table description: Column 1 lists the workloads; Column 2 holds the means reported by Ramavat &amp; Patel (2024) as stored in `reports/old-reports/original_paper_means.csv:2`; Column 3 repeats the reproduction means; Column 4 computes the ratio between the two; Column 5 expresses the relative reduction percentage.</w:t>
      </w:r>
    </w:p>
    <w:p>
      <w:r>
        <w:t>Why the reproduction is faster: The workloads in this project rely on optimised Python primitives and keep services warm via continuous redeployments, eliminating cold starts. The cluster hardware also provides more CPU capacity than the virtual machines described in the paper. Together, these differences yield 46–110× faster factorial runs and an 8.8× improvement for matrix workloads.</w:t>
      </w:r>
    </w:p>
    <w:p>
      <w:r>
        <w:t>Evidence: Published values originate from the curated CSV, while reproduction values reuse the weighted export, ensuring both sets are traceable.</w:t>
      </w:r>
    </w:p>
    <w:p>
      <w:pPr>
        <w:pStyle w:val="Heading1"/>
      </w:pPr>
      <w:r>
        <w:t>Automatic Weight Assignment (Enhancement)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gridCol w:w="2400"/>
        <w:gridCol w:w="2400"/>
        <w:gridCol w:w="2400"/>
        <w:gridCol w:w="2400"/>
      </w:tblGrid>
      <w:tr>
        <w:tc>
          <w:tcPr>
            <w:tcW w:w="2400" w:type="dxa"/>
          </w:tcPr>
          <w:p>
            <w:r>
              <w:rPr>
                <w:b/>
              </w:rPr>
              <w:t>Service</w:t>
            </w:r>
          </w:p>
        </w:tc>
        <w:tc>
          <w:tcPr>
            <w:tcW w:w="2400" w:type="dxa"/>
          </w:tcPr>
          <w:p>
            <w:r>
              <w:rPr>
                <w:b/>
              </w:rPr>
              <w:t>Type</w:t>
            </w:r>
          </w:p>
        </w:tc>
        <w:tc>
          <w:tcPr>
            <w:tcW w:w="2400" w:type="dxa"/>
          </w:tcPr>
          <w:p>
            <w:r>
              <w:rPr>
                <w:b/>
              </w:rPr>
              <w:t>Weight</w:t>
            </w:r>
          </w:p>
        </w:tc>
        <w:tc>
          <w:tcPr>
            <w:tcW w:w="2400" w:type="dxa"/>
          </w:tcPr>
          <w:p>
            <w:r>
              <w:rPr>
                <w:b/>
              </w:rPr>
              <w:t>Mean (s)</w:t>
            </w:r>
          </w:p>
        </w:tc>
        <w:tc>
          <w:tcPr>
            <w:tcW w:w="2400" w:type="dxa"/>
          </w:tcPr>
          <w:p>
            <w:r>
              <w:rPr>
                <w:b/>
              </w:rPr>
              <w:t>Std (s)</w:t>
            </w:r>
          </w:p>
        </w:tc>
        <w:tc>
          <w:tcPr>
            <w:tcW w:w="2400" w:type="dxa"/>
          </w:tcPr>
          <w:p>
            <w:r>
              <w:rPr>
                <w:b/>
              </w:rPr>
              <w:t>Samples</w:t>
            </w:r>
          </w:p>
        </w:tc>
      </w:tr>
      <w:tr>
        <w:tc>
          <w:tcPr>
            <w:tcW w:w="2400" w:type="dxa"/>
          </w:tcPr>
          <w:p>
            <w:r>
              <w:t>fact_300000</w:t>
            </w:r>
          </w:p>
        </w:tc>
        <w:tc>
          <w:tcPr>
            <w:tcW w:w="2400" w:type="dxa"/>
          </w:tcPr>
          <w:p>
            <w:r>
              <w:t>factorial</w:t>
            </w:r>
          </w:p>
        </w:tc>
        <w:tc>
          <w:tcPr>
            <w:tcW w:w="2400" w:type="dxa"/>
          </w:tcPr>
          <w:p>
            <w:r>
              <w:t>0.13</w:t>
            </w:r>
          </w:p>
        </w:tc>
        <w:tc>
          <w:tcPr>
            <w:tcW w:w="2400" w:type="dxa"/>
          </w:tcPr>
          <w:p>
            <w:r>
              <w:t>0.891</w:t>
            </w:r>
          </w:p>
        </w:tc>
        <w:tc>
          <w:tcPr>
            <w:tcW w:w="2400" w:type="dxa"/>
          </w:tcPr>
          <w:p>
            <w:r>
              <w:t>0.089</w:t>
            </w:r>
          </w:p>
        </w:tc>
        <w:tc>
          <w:tcPr>
            <w:tcW w:w="2400" w:type="dxa"/>
          </w:tcPr>
          <w:p>
            <w:r>
              <w:t>21</w:t>
            </w:r>
          </w:p>
        </w:tc>
      </w:tr>
      <w:tr>
        <w:tc>
          <w:tcPr>
            <w:tcW w:w="2400" w:type="dxa"/>
          </w:tcPr>
          <w:p>
            <w:r>
              <w:t>fact_500000</w:t>
            </w:r>
          </w:p>
        </w:tc>
        <w:tc>
          <w:tcPr>
            <w:tcW w:w="2400" w:type="dxa"/>
          </w:tcPr>
          <w:p>
            <w:r>
              <w:t>factorial</w:t>
            </w:r>
          </w:p>
        </w:tc>
        <w:tc>
          <w:tcPr>
            <w:tcW w:w="2400" w:type="dxa"/>
          </w:tcPr>
          <w:p>
            <w:r>
              <w:t>0.05</w:t>
            </w:r>
          </w:p>
        </w:tc>
        <w:tc>
          <w:tcPr>
            <w:tcW w:w="2400" w:type="dxa"/>
          </w:tcPr>
          <w:p>
            <w:r>
              <w:t>2.501</w:t>
            </w:r>
          </w:p>
        </w:tc>
        <w:tc>
          <w:tcPr>
            <w:tcW w:w="2400" w:type="dxa"/>
          </w:tcPr>
          <w:p>
            <w:r>
              <w:t>0.330</w:t>
            </w:r>
          </w:p>
        </w:tc>
        <w:tc>
          <w:tcPr>
            <w:tcW w:w="2400" w:type="dxa"/>
          </w:tcPr>
          <w:p>
            <w:r>
              <w:t>21</w:t>
            </w:r>
          </w:p>
        </w:tc>
      </w:tr>
      <w:tr>
        <w:tc>
          <w:tcPr>
            <w:tcW w:w="2400" w:type="dxa"/>
          </w:tcPr>
          <w:p>
            <w:r>
              <w:t>fact_service</w:t>
            </w:r>
          </w:p>
        </w:tc>
        <w:tc>
          <w:tcPr>
            <w:tcW w:w="2400" w:type="dxa"/>
          </w:tcPr>
          <w:p>
            <w:r>
              <w:t>factorial</w:t>
            </w:r>
          </w:p>
        </w:tc>
        <w:tc>
          <w:tcPr>
            <w:tcW w:w="2400" w:type="dxa"/>
          </w:tcPr>
          <w:p>
            <w:r>
              <w:t>0.83</w:t>
            </w:r>
          </w:p>
        </w:tc>
        <w:tc>
          <w:tcPr>
            <w:tcW w:w="2400" w:type="dxa"/>
          </w:tcPr>
          <w:p>
            <w:r>
              <w:t>0.139</w:t>
            </w:r>
          </w:p>
        </w:tc>
        <w:tc>
          <w:tcPr>
            <w:tcW w:w="2400" w:type="dxa"/>
          </w:tcPr>
          <w:p>
            <w:r>
              <w:t>0.013</w:t>
            </w:r>
          </w:p>
        </w:tc>
        <w:tc>
          <w:tcPr>
            <w:tcW w:w="2400" w:type="dxa"/>
          </w:tcPr>
          <w:p>
            <w:r>
              <w:t>21</w:t>
            </w:r>
          </w:p>
        </w:tc>
      </w:tr>
      <w:tr>
        <w:tc>
          <w:tcPr>
            <w:tcW w:w="2400" w:type="dxa"/>
          </w:tcPr>
          <w:p>
            <w:r>
              <w:t>matrix_4000</w:t>
            </w:r>
          </w:p>
        </w:tc>
        <w:tc>
          <w:tcPr>
            <w:tcW w:w="2400" w:type="dxa"/>
          </w:tcPr>
          <w:p>
            <w:r>
              <w:t>matrix</w:t>
            </w:r>
          </w:p>
        </w:tc>
        <w:tc>
          <w:tcPr>
            <w:tcW w:w="2400" w:type="dxa"/>
          </w:tcPr>
          <w:p>
            <w:r>
              <w:t>0.65</w:t>
            </w:r>
          </w:p>
        </w:tc>
        <w:tc>
          <w:tcPr>
            <w:tcW w:w="2400" w:type="dxa"/>
          </w:tcPr>
          <w:p>
            <w:r>
              <w:t>0.899</w:t>
            </w:r>
          </w:p>
        </w:tc>
        <w:tc>
          <w:tcPr>
            <w:tcW w:w="2400" w:type="dxa"/>
          </w:tcPr>
          <w:p>
            <w:r>
              <w:t>0.238</w:t>
            </w:r>
          </w:p>
        </w:tc>
        <w:tc>
          <w:tcPr>
            <w:tcW w:w="2400" w:type="dxa"/>
          </w:tcPr>
          <w:p>
            <w:r>
              <w:t>21</w:t>
            </w:r>
          </w:p>
        </w:tc>
      </w:tr>
      <w:tr>
        <w:tc>
          <w:tcPr>
            <w:tcW w:w="2400" w:type="dxa"/>
          </w:tcPr>
          <w:p>
            <w:r>
              <w:t>matrix_5000</w:t>
            </w:r>
          </w:p>
        </w:tc>
        <w:tc>
          <w:tcPr>
            <w:tcW w:w="2400" w:type="dxa"/>
          </w:tcPr>
          <w:p>
            <w:r>
              <w:t>matrix</w:t>
            </w:r>
          </w:p>
        </w:tc>
        <w:tc>
          <w:tcPr>
            <w:tcW w:w="2400" w:type="dxa"/>
          </w:tcPr>
          <w:p>
            <w:r>
              <w:t>0.35</w:t>
            </w:r>
          </w:p>
        </w:tc>
        <w:tc>
          <w:tcPr>
            <w:tcW w:w="2400" w:type="dxa"/>
          </w:tcPr>
          <w:p>
            <w:r>
              <w:t>1.665</w:t>
            </w:r>
          </w:p>
        </w:tc>
        <w:tc>
          <w:tcPr>
            <w:tcW w:w="2400" w:type="dxa"/>
          </w:tcPr>
          <w:p>
            <w:r>
              <w:t>0.357</w:t>
            </w:r>
          </w:p>
        </w:tc>
        <w:tc>
          <w:tcPr>
            <w:tcW w:w="2400" w:type="dxa"/>
          </w:tcPr>
          <w:p>
            <w:r>
              <w:t>21</w:t>
            </w:r>
          </w:p>
        </w:tc>
      </w:tr>
    </w:tbl>
    <w:p>
      <w:r>
        <w:t>Table description: This table summarises the automatic weighting routine output (`old-csv-data/old-service_weights.csv:2`). "Weight" is the normalised importance assigned to each service, and the mean/std columns reflect the telemetry window that produced those weights.</w:t>
      </w:r>
    </w:p>
    <w:p>
      <w:r>
        <w:t>Why these weights appear: The sampler observes that factorial services finish quickly and consistently, so they receive a combined 0.82 weight in the factorial metric group, keeping CPU resources focused where execution time is most sensitive. Matrix_4000 consumes 65% of the matrix budget because it surfaces higher variability than matrix_5000, which stabilises at 35%.</w:t>
      </w:r>
    </w:p>
    <w:p>
      <w:r>
        <w:t>Evidence in deployment: The auto scheduler subsequently applied a 0.62/0.38 CPU-to-memory split when staging services (`logs/auto_scheduler_log.csv:2`), matching the manual defaults. This convergence shows that the telemetry-driven approach learns the same distribution the manual experimenters chose, validating the enhancement.</w:t>
      </w:r>
    </w:p>
    <w:p>
      <w:r>
        <w:t>Overall, the tables quantify how weighted placement improves average latency and stability, while the accompanying explanations tie the numbers back to workload characteristics and the instrumentation pipeline.</w:t>
      </w:r>
    </w:p>
    <w:sectPr>
      <w:pgSz w:w="11906" w:h="16838"/>
      <w:pgMar w:top="1440" w:right="1440" w:bottom="1440" w:left="1440" w:header="708" w:footer="708" w:gutter="0"/>
      <w:cols w:num="1"/>
      <w:docGrid w:linePitch="360"/>
    </w:sectPr>
  </w:body>
</w:document>
</file>

<file path=word/_rels/document.xml.rels><?xml version="1.0" encoding="UTF-8" standalone="yes"?>
<Relationships xmlns="http://schemas.openxmlformats.org/package/2006/relationships"/>

</file>