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Weighted resource-aware scheduling for Docker Swarm was reproduced with a telemetry-rich toolchain that captures per-service execution times and node utilisation. Manual CPU/Memory weighting inspired by Ramavat &amp; Patel (2024) delivered tight latency bounds: factorial workloads run in 0.14-2.18 s with sigma &lt;= 0.09 s, while matrix jobs finish in 1.23 s despite heterogeneous resource profiles. Compared to the spread baseline, the weighted policy cut matrix_5000 completion times by 59% and lowered variance by 70%, shrinking the coefficient of variation from 0.48 to 0.35. Relative to the published measurements, the reproduction outperformed up to 110x for factorial services and 8.8x for matrix workloads, highlighting the impact of hot-service orchestration and optimised workload implementations. These results validate the qualitative claims of the original study and demonstrate that integrating Prometheus-driven feedback into Swarm scheduling delivers consistent gains across CPU- and memory-bound services.</w:t>
      </w:r>
    </w:p>
    <w:p>
      <w:pPr>
        <w:pStyle w:val="Heading1"/>
      </w:pPr>
      <w:r>
        <w:t>Future Work</w:t>
      </w:r>
    </w:p>
    <w:p>
      <w:r>
        <w:t>- Collect a full spread-only run on current hardware to obtain matrix and factorial baselines under identical conditions.</w:t>
      </w:r>
    </w:p>
    <w:p>
      <w:r>
        <w:t>- Export node-level CPU/RAM time series and reproduce paper-style utilisation plots for stronger load-balancing evidence.</w:t>
      </w:r>
    </w:p>
    <w:p>
      <w:r>
        <w:t>- Separate matrix_4k and matrix_5k telemetry so future reports distinguish memory weights more precisely.</w:t>
      </w:r>
    </w:p>
    <w:p>
      <w:r>
        <w:t>- Evaluate automatic weight derivation under bursty workloads and introduce adaptive windows for changing traffic.</w:t>
      </w:r>
    </w:p>
    <w:p>
      <w:r>
        <w:t>- Integrate alternative strategies (least-loaded, round robin) into the reporting pipeline for broader comparative studies.</w:t>
      </w:r>
    </w:p>
    <w:p>
      <w:pPr>
        <w:pStyle w:val="Heading1"/>
      </w:pPr>
      <w:r>
        <w:t>Conclusion</w:t>
      </w:r>
    </w:p>
    <w:p>
      <w:r>
        <w:t>The reproduced environment confirms that manual weighting guided by live telemetry delivers substantial latency reductions and steadier performance for heterogeneous Docker Swarm workloads. Execution-time samples show that weighted placement not only improves mean latency but also suppresses variance, signalling healthier cluster balancing. Alignment between telemetry-derived weights and manual defaults further supports the robustness of the collection pipeline and scheduling logic. Closing the loop with richer baselines, node metrics, and adaptive weighting will extend these gains to dynamic production scenarios while preserving the reproducibility achieved in this study.</w:t>
      </w:r>
    </w:p>
    <w:sectPr>
      <w:pgSz w:w="11906" w:h="16838"/>
      <w:pgMar w:top="1440" w:right="1440" w:bottom="1440" w:left="1440" w:header="708" w:footer="708" w:gutter="0"/>
      <w:cols w:num="1"/>
    </w:sectPr>
  </w:body>
</w:document>
</file>

<file path=word/_rels/document.xml.rels><?xml version="1.0" encoding="UTF-8" standalone="yes"?>
<Relationships xmlns="http://schemas.openxmlformats.org/package/2006/relationships"/>

</file>