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44"/>
          <w:szCs w:val="44"/>
        </w:rPr>
        <w:t xml:space="preserve">RACHEL KIM</w:t>
      </w:r>
    </w:p>
    <w:p>
      <w:pPr>
        <w:spacing w:after="60"/>
        <w:jc w:val="center"/>
      </w:pPr>
      <w:r>
        <w:rPr>
          <w:sz w:val="20"/>
          <w:szCs w:val="20"/>
        </w:rPr>
        <w:t xml:space="preserve">(646) 555-0187</w:t>
      </w:r>
      <w:r>
        <w:rPr>
          <w:sz w:val="20"/>
          <w:szCs w:val="20"/>
        </w:rPr>
        <w:t xml:space="preserve">  ||  </w:t>
      </w:r>
      <w:hyperlink w:history="1" r:id="rId0my-5k1kmckq_k5tm0p2d">
        <w:r>
          <w:rPr>
            <w:color w:val="0000EE"/>
            <w:sz w:val="20"/>
            <w:szCs w:val="20"/>
            <w:u w:val="single"/>
          </w:rPr>
          <w:t xml:space="preserve">rachel.kim.esq@gmail.com</w:t>
        </w:r>
      </w:hyperlink>
      <w:r>
        <w:rPr>
          <w:sz w:val="20"/>
          <w:szCs w:val="20"/>
        </w:rPr>
        <w:t xml:space="preserve">  ||  </w:t>
      </w:r>
      <w:hyperlink w:history="1" r:id="rIdi9419tnhyxlglpqzgf_0m">
        <w:r>
          <w:rPr>
            <w:color w:val="0000EE"/>
            <w:sz w:val="20"/>
            <w:szCs w:val="20"/>
            <w:u w:val="single"/>
          </w:rPr>
          <w:t xml:space="preserve">linkedin.com/in/rachelkim-corplaw</w:t>
        </w:r>
      </w:hyperlink>
    </w:p>
    <w:p>
      <w:pPr>
        <w:pBdr>
          <w:bottom w:val="single" w:color="000000" w:sz="6" w:space="4"/>
        </w:pBdr>
        <w:spacing w:after="100"/>
        <w:jc w:val="center"/>
      </w:pPr>
      <w:r>
        <w:rPr>
          <w:i/>
          <w:iCs/>
          <w:sz w:val="20"/>
          <w:szCs w:val="20"/>
        </w:rPr>
        <w:t xml:space="preserve">Corporate Attorney with 8 years advising on M&amp;A, venture financing, and commercial contracts</w:t>
      </w:r>
    </w:p>
    <w:p>
      <w:pPr>
        <w:pBdr>
          <w:bottom w:val="single" w:color="000000" w:sz="6" w:space="2"/>
        </w:pBd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EDUCATION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8500"/>
      </w:tblGrid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2016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J.D.</w:t>
            </w:r>
            <w:r>
              <w:rPr>
                <w:b/>
                <w:bCs/>
                <w:sz w:val="20"/>
                <w:szCs w:val="20"/>
              </w:rPr>
              <w:t xml:space="preserve"> - COLUMBIA LAW SCHOOL</w:t>
            </w:r>
            <w:r>
              <w:rPr>
                <w:sz w:val="20"/>
                <w:szCs w:val="20"/>
              </w:rPr>
              <w:t xml:space="preserve">, New York, NY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Harlan Fiske Stone Scholar | Columbia Business Law Review, Editor</w:t>
            </w:r>
          </w:p>
        </w:tc>
      </w:tr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2013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B.A. Economics</w:t>
            </w:r>
            <w:r>
              <w:rPr>
                <w:b/>
                <w:bCs/>
                <w:sz w:val="20"/>
                <w:szCs w:val="20"/>
              </w:rPr>
              <w:t xml:space="preserve"> - CORNELL UNIVERSITY</w:t>
            </w:r>
            <w:r>
              <w:rPr>
                <w:sz w:val="20"/>
                <w:szCs w:val="20"/>
              </w:rPr>
              <w:t xml:space="preserve">, Ithaca, NY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Magna Cum Laude</w:t>
            </w:r>
          </w:p>
        </w:tc>
      </w:tr>
    </w:tbl>
    <w:p>
      <w:pPr>
        <w:pBdr>
          <w:bottom w:val="single" w:color="000000" w:sz="6" w:space="2"/>
        </w:pBd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WORK EXPERIENCE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8500"/>
      </w:tblGrid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Sep 2020–Present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Senior Corporate Counsel</w:t>
            </w:r>
            <w:r>
              <w:rPr>
                <w:b/>
                <w:bCs/>
                <w:sz w:val="20"/>
                <w:szCs w:val="20"/>
              </w:rPr>
              <w:t xml:space="preserve"> - STRIPE, INC.</w:t>
            </w:r>
            <w:r>
              <w:rPr>
                <w:sz w:val="20"/>
                <w:szCs w:val="20"/>
              </w:rPr>
              <w:t xml:space="preserve">, New York, NY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M&amp;A and financing:</w:t>
            </w:r>
            <w:r>
              <w:rPr>
                <w:sz w:val="20"/>
                <w:szCs w:val="20"/>
              </w:rPr>
              <w:t xml:space="preserve"> Lead legal workstreams for corporate financings and 3 acquisitions totaling over $200M in deal value.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Commercial contracts:</w:t>
            </w:r>
            <w:r>
              <w:rPr>
                <w:sz w:val="20"/>
                <w:szCs w:val="20"/>
              </w:rPr>
              <w:t xml:space="preserve"> Negotiate and draft enterprise partnership and vendor agreements, reducing average contract turnaround time by 30%.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Governance:</w:t>
            </w:r>
            <w:r>
              <w:rPr>
                <w:sz w:val="20"/>
                <w:szCs w:val="20"/>
              </w:rPr>
              <w:t xml:space="preserve"> Advise the board and executive team on corporate governance matters and equity compensation programs.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Team leadership:</w:t>
            </w:r>
            <w:r>
              <w:rPr>
                <w:sz w:val="20"/>
                <w:szCs w:val="20"/>
              </w:rPr>
              <w:t xml:space="preserve"> Manage 1 junior associate and coordinate with outside counsel on cross-border regulatory matters.</w:t>
            </w:r>
          </w:p>
        </w:tc>
      </w:tr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Aug 2016–Aug 2020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Associate, Corporate Group</w:t>
            </w:r>
            <w:r>
              <w:rPr>
                <w:b/>
                <w:bCs/>
                <w:sz w:val="20"/>
                <w:szCs w:val="20"/>
              </w:rPr>
              <w:t xml:space="preserve"> - SKADDEN, ARPS, SLATE, MEAGHER &amp; FLOM LLP</w:t>
            </w:r>
            <w:r>
              <w:rPr>
                <w:sz w:val="20"/>
                <w:szCs w:val="20"/>
              </w:rPr>
              <w:t xml:space="preserve">, New York, NY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Represented public and private company clients in M&amp;A transactions ranging from $50M to $2B in value.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Drafted and negotiated merger agreements, disclosure schedules, and ancillary transaction documents.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Conducted legal due diligence for 15+ transactions across technology and healthcare sectors.</w:t>
            </w:r>
          </w:p>
        </w:tc>
      </w:tr>
    </w:tbl>
    <w:p>
      <w:pPr>
        <w:pBdr>
          <w:bottom w:val="single" w:color="000000" w:sz="6" w:space="2"/>
        </w:pBd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SKILLS</w:t>
      </w:r>
    </w:p>
    <w:p>
      <w:pPr>
        <w:spacing w:after="80"/>
      </w:pPr>
      <w:r>
        <w:rPr>
          <w:sz w:val="20"/>
          <w:szCs w:val="20"/>
        </w:rPr>
        <w:t xml:space="preserve">M&amp;A, Venture Financing, Contract Negotiation, Corporate Governance, Securities Law, Due Diligence</w:t>
      </w:r>
    </w:p>
    <w:p>
      <w:pPr>
        <w:pBdr>
          <w:bottom w:val="single" w:color="000000" w:sz="6" w:space="2"/>
        </w:pBd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PROFESSIONAL DEVELOPMENT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8500"/>
      </w:tblGrid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2021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Advanced M&amp;A Negotiation Seminar, Practising Law Institute</w:t>
            </w:r>
          </w:p>
        </w:tc>
      </w:tr>
    </w:tbl>
    <w:p>
      <w:pPr>
        <w:pBdr>
          <w:bottom w:val="single" w:color="000000" w:sz="6" w:space="2"/>
        </w:pBd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AWARDS AND CERTIFICATES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8500"/>
      </w:tblGrid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2016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Admitted to the New York State Bar</w:t>
            </w:r>
          </w:p>
        </w:tc>
      </w:tr>
    </w:tbl>
    <w:p>
      <w:pPr>
        <w:pBdr>
          <w:bottom w:val="single" w:color="000000" w:sz="6" w:space="2"/>
        </w:pBd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VOLUNTEER EXPERIENCE &amp; LEADERSHIP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8500"/>
      </w:tblGrid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2018–Present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Pro Bono Counsel</w:t>
            </w:r>
            <w:r>
              <w:rPr>
                <w:b/>
                <w:bCs/>
                <w:sz w:val="20"/>
                <w:szCs w:val="20"/>
              </w:rPr>
              <w:t xml:space="preserve"> - NEW YORK LEGAL ASSISTANCE GROUP</w:t>
            </w:r>
            <w:r>
              <w:rPr>
                <w:sz w:val="20"/>
                <w:szCs w:val="20"/>
              </w:rPr>
              <w:t xml:space="preserve">, New York, NY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Provide pro bono contract review and formation support to early-stage nonprofit organizations.</w:t>
            </w:r>
          </w:p>
        </w:tc>
      </w:tr>
    </w:tbl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0my-5k1kmckq_k5tm0p2d" Type="http://schemas.openxmlformats.org/officeDocument/2006/relationships/hyperlink" Target="mailto:rachel.kim.esq@gmail.com" TargetMode="External"/><Relationship Id="rIdi9419tnhyxlglpqzgf_0m" Type="http://schemas.openxmlformats.org/officeDocument/2006/relationships/hyperlink" Target="https://linkedin.com/in/rachelkim-corplaw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2026-07-01T06:58:14.923Z</dcterms:created>
  <dcterms:modified xsi:type="dcterms:W3CDTF">2026-07-01T06:58:14.923Z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