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080"/>
        <w:gridCol w:w="1350"/>
        <w:gridCol w:w="1110"/>
        <w:gridCol w:w="4500"/>
        <w:tblGridChange w:id="0">
          <w:tblGrid>
            <w:gridCol w:w="1320"/>
            <w:gridCol w:w="1080"/>
            <w:gridCol w:w="1350"/>
            <w:gridCol w:w="111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AULA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{pointsheetType}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{#schedules}{classDate}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{classTime}º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{replacementDate}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{replacementTime}º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{/}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3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4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15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7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C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23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Hvw+L6DRa/yxF01Y95jCvjvfJw==">AMUW2mX0lnRg0AbydqRKZ+0t1W2Ojr0zZtVGvBb8tS7zoSGC1Mp0zNi6YvAFsCByCs2QG5wqtKQqkU9Ta+tG23WU7IjDWYp1MbTksQ7d5TLjL8ahFRVkeHWTnDBFG/3rqSTKRuOU0N+I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