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BBFB" w14:textId="77777777" w:rsidR="00406567" w:rsidRPr="00406567" w:rsidRDefault="00406567" w:rsidP="007050C8">
      <w:pPr>
        <w:pStyle w:val="Heading1"/>
      </w:pPr>
      <w:r w:rsidRPr="00406567">
        <w:t>Identification of Factors Contributing to Churn and Retention</w:t>
      </w:r>
    </w:p>
    <w:p w14:paraId="2AC868F2" w14:textId="77777777" w:rsidR="00406567" w:rsidRPr="00406567" w:rsidRDefault="00406567" w:rsidP="007050C8">
      <w:pPr>
        <w:pStyle w:val="Heading2"/>
      </w:pPr>
      <w:r w:rsidRPr="00406567">
        <w:t>Method</w:t>
      </w:r>
    </w:p>
    <w:p w14:paraId="656EE0CE" w14:textId="77777777" w:rsidR="00406567" w:rsidRPr="00406567" w:rsidRDefault="00406567" w:rsidP="00406567">
      <w:r w:rsidRPr="00406567">
        <w:t>Two independent techniques were used to identify churn-driving factors, and both are compared here for consistency:</w:t>
      </w:r>
    </w:p>
    <w:p w14:paraId="69B33752" w14:textId="77777777" w:rsidR="00406567" w:rsidRPr="00406567" w:rsidRDefault="00406567" w:rsidP="00406567">
      <w:pPr>
        <w:numPr>
          <w:ilvl w:val="0"/>
          <w:numId w:val="6"/>
        </w:numPr>
      </w:pPr>
      <w:r w:rsidRPr="00406567">
        <w:rPr>
          <w:b/>
          <w:bCs/>
        </w:rPr>
        <w:t>Clustering analysis (Stage 2):</w:t>
      </w:r>
      <w:r w:rsidRPr="00406567">
        <w:t xml:space="preserve"> grouping customers by feature similarity and comparing churn rates across the resulting segments.</w:t>
      </w:r>
    </w:p>
    <w:p w14:paraId="1B5E21A1" w14:textId="77777777" w:rsidR="00406567" w:rsidRPr="00406567" w:rsidRDefault="00406567" w:rsidP="00406567">
      <w:pPr>
        <w:numPr>
          <w:ilvl w:val="0"/>
          <w:numId w:val="6"/>
        </w:numPr>
      </w:pPr>
      <w:r w:rsidRPr="00406567">
        <w:rPr>
          <w:b/>
          <w:bCs/>
        </w:rPr>
        <w:t>Permutation feature importance (Stage 3):</w:t>
      </w:r>
      <w:r w:rsidRPr="00406567">
        <w:t xml:space="preserve"> measuring how much the trained ANN's accuracy drops when each feature is randomly shuffled — a bigger drop means the model relied on that feature more heavily.</w:t>
      </w:r>
    </w:p>
    <w:p w14:paraId="053CD2FE" w14:textId="77777777" w:rsidR="00406567" w:rsidRPr="00406567" w:rsidRDefault="00406567" w:rsidP="007050C8">
      <w:pPr>
        <w:pStyle w:val="Heading2"/>
      </w:pPr>
      <w:r w:rsidRPr="00406567">
        <w:t>Factors Contributing to Churn</w:t>
      </w:r>
    </w:p>
    <w:p w14:paraId="097701EA" w14:textId="77777777" w:rsidR="00406567" w:rsidRPr="00406567" w:rsidRDefault="00406567" w:rsidP="007050C8">
      <w:pPr>
        <w:pStyle w:val="Heading3"/>
      </w:pPr>
      <w:r w:rsidRPr="00406567">
        <w:t>1. Short Tenure (Strongest Factor)</w:t>
      </w:r>
    </w:p>
    <w:p w14:paraId="359124DB" w14:textId="77777777" w:rsidR="00406567" w:rsidRPr="00406567" w:rsidRDefault="00406567" w:rsidP="00406567">
      <w:r w:rsidRPr="00406567">
        <w:t>Permutation importance shows tenure causes by far the largest accuracy drop (≈11 percentage points) when removed from the model — making it the single strongest predictor of churn. This is confirmed by the clustering results: the two lowest-tenure segments ("At-Risk New Customers" and "New Budget Customers") have churn rates of 49% and 25%, compared to 5–16% for the two long-tenure segments.</w:t>
      </w:r>
    </w:p>
    <w:p w14:paraId="1C3FBDE7" w14:textId="77777777" w:rsidR="00406567" w:rsidRPr="00406567" w:rsidRDefault="00406567" w:rsidP="00406567">
      <w:r w:rsidRPr="00406567">
        <w:rPr>
          <w:b/>
          <w:bCs/>
        </w:rPr>
        <w:t>Interpretation:</w:t>
      </w:r>
      <w:r w:rsidRPr="00406567">
        <w:t xml:space="preserve"> Customers are most vulnerable to leaving in their early months with the company, before any loyalty or switching-cost barriers have built up.</w:t>
      </w:r>
    </w:p>
    <w:p w14:paraId="54650050" w14:textId="77777777" w:rsidR="00406567" w:rsidRPr="00406567" w:rsidRDefault="00406567" w:rsidP="007050C8">
      <w:pPr>
        <w:pStyle w:val="Heading3"/>
      </w:pPr>
      <w:r w:rsidRPr="00406567">
        <w:t>2. High Monthly Charges (Second Strongest Factor)</w:t>
      </w:r>
    </w:p>
    <w:p w14:paraId="41C9DC26" w14:textId="77777777" w:rsidR="00406567" w:rsidRPr="00406567" w:rsidRDefault="00406567" w:rsidP="00406567">
      <w:proofErr w:type="spellStart"/>
      <w:r w:rsidRPr="00406567">
        <w:t>MonthlyCharges</w:t>
      </w:r>
      <w:proofErr w:type="spellEnd"/>
      <w:r w:rsidRPr="00406567">
        <w:t xml:space="preserve"> is the second most important feature in the ANN (≈7 percentage point accuracy </w:t>
      </w:r>
      <w:proofErr w:type="gramStart"/>
      <w:r w:rsidRPr="00406567">
        <w:t>drop</w:t>
      </w:r>
      <w:proofErr w:type="gramEnd"/>
      <w:r w:rsidRPr="00406567">
        <w:t>), and the clustering shows the same pattern: the "At-Risk New Customers" segment, with the highest average monthly charges (~$81) among the two low-tenure groups, also has the highest churn rate.</w:t>
      </w:r>
    </w:p>
    <w:p w14:paraId="780F6489" w14:textId="77777777" w:rsidR="00406567" w:rsidRPr="00406567" w:rsidRDefault="00406567" w:rsidP="00406567">
      <w:r w:rsidRPr="00406567">
        <w:rPr>
          <w:b/>
          <w:bCs/>
        </w:rPr>
        <w:t>Interpretation:</w:t>
      </w:r>
      <w:r w:rsidRPr="00406567">
        <w:t xml:space="preserve"> Price sensitivity compounds the tenure risk — new customers paying a premium are the most likely to leave, more than new customers on cheaper plans (25% churn vs. 49% churn).</w:t>
      </w:r>
    </w:p>
    <w:p w14:paraId="0190C798" w14:textId="77777777" w:rsidR="00406567" w:rsidRPr="00406567" w:rsidRDefault="00406567" w:rsidP="007050C8">
      <w:pPr>
        <w:pStyle w:val="Heading3"/>
      </w:pPr>
      <w:r w:rsidRPr="00406567">
        <w:t xml:space="preserve">3. Short Tenure </w:t>
      </w:r>
      <w:r w:rsidRPr="00406567">
        <w:rPr>
          <w:i/>
          <w:iCs/>
        </w:rPr>
        <w:t xml:space="preserve">Combined </w:t>
      </w:r>
      <w:proofErr w:type="gramStart"/>
      <w:r w:rsidRPr="00406567">
        <w:rPr>
          <w:i/>
          <w:iCs/>
        </w:rPr>
        <w:t>With</w:t>
      </w:r>
      <w:proofErr w:type="gramEnd"/>
      <w:r w:rsidRPr="00406567">
        <w:t xml:space="preserve"> High Charges (Compounding Effect)</w:t>
      </w:r>
    </w:p>
    <w:p w14:paraId="2A45D462" w14:textId="77777777" w:rsidR="00406567" w:rsidRPr="003410AA" w:rsidRDefault="00406567" w:rsidP="00406567">
      <w:r w:rsidRPr="003410AA">
        <w:t>The clustering results show this isn't simply two separate risks adding up — it's a compounding one. New customers on cheap plans churn at 25%, but new customers on expensive plans churn at nearly double that, 49%. The combination is a materially worse risk than either factor alone.</w:t>
      </w:r>
    </w:p>
    <w:p w14:paraId="53F175FD" w14:textId="77777777" w:rsidR="00406567" w:rsidRPr="00406567" w:rsidRDefault="00406567" w:rsidP="007050C8">
      <w:pPr>
        <w:pStyle w:val="Heading3"/>
      </w:pPr>
      <w:r w:rsidRPr="00406567">
        <w:lastRenderedPageBreak/>
        <w:t>4. Minor or Negligible Factors</w:t>
      </w:r>
    </w:p>
    <w:p w14:paraId="71484DB3" w14:textId="77777777" w:rsidR="00406567" w:rsidRPr="00406567" w:rsidRDefault="00406567" w:rsidP="00406567">
      <w:r w:rsidRPr="00406567">
        <w:t xml:space="preserve">The ANN's permutation importance found </w:t>
      </w:r>
      <w:proofErr w:type="spellStart"/>
      <w:r w:rsidRPr="00406567">
        <w:t>PhoneService</w:t>
      </w:r>
      <w:proofErr w:type="spellEnd"/>
      <w:r w:rsidRPr="00406567">
        <w:t xml:space="preserve">, </w:t>
      </w:r>
      <w:proofErr w:type="spellStart"/>
      <w:r w:rsidRPr="00406567">
        <w:t>SeniorCitizen</w:t>
      </w:r>
      <w:proofErr w:type="spellEnd"/>
      <w:r w:rsidRPr="00406567">
        <w:t xml:space="preserve">, </w:t>
      </w:r>
      <w:proofErr w:type="spellStart"/>
      <w:r w:rsidRPr="00406567">
        <w:t>MultipleLines</w:t>
      </w:r>
      <w:proofErr w:type="spellEnd"/>
      <w:r w:rsidRPr="00406567">
        <w:t xml:space="preserve">, gender, Dependents, </w:t>
      </w:r>
      <w:proofErr w:type="spellStart"/>
      <w:r w:rsidRPr="00406567">
        <w:t>InternetService</w:t>
      </w:r>
      <w:proofErr w:type="spellEnd"/>
      <w:r w:rsidRPr="00406567">
        <w:t>, and contract length (</w:t>
      </w:r>
      <w:proofErr w:type="spellStart"/>
      <w:r w:rsidRPr="00406567">
        <w:t>Contract_One</w:t>
      </w:r>
      <w:proofErr w:type="spellEnd"/>
      <w:r w:rsidRPr="00406567">
        <w:t xml:space="preserve"> year, </w:t>
      </w:r>
      <w:proofErr w:type="spellStart"/>
      <w:r w:rsidRPr="00406567">
        <w:t>Contract_Two</w:t>
      </w:r>
      <w:proofErr w:type="spellEnd"/>
      <w:r w:rsidRPr="00406567">
        <w:t xml:space="preserve"> year) all had a near-zero or even slightly negative effect on model accuracy when shuffled. This suggests that, once tenure and monthly charges are accounted for, these demographic and service-type features add little further predictive signal in this dataset.</w:t>
      </w:r>
    </w:p>
    <w:p w14:paraId="2774257F" w14:textId="77777777" w:rsidR="00406567" w:rsidRPr="00406567" w:rsidRDefault="00406567" w:rsidP="007050C8">
      <w:pPr>
        <w:pStyle w:val="Heading2"/>
      </w:pPr>
      <w:r w:rsidRPr="00406567">
        <w:t>Factors Contributing to Retention</w:t>
      </w:r>
    </w:p>
    <w:p w14:paraId="2DCF389A" w14:textId="77777777" w:rsidR="00406567" w:rsidRPr="00406567" w:rsidRDefault="00406567" w:rsidP="00406567">
      <w:r w:rsidRPr="00406567">
        <w:t>By the same logic in reverse, the strongest retention indicators found were:</w:t>
      </w:r>
    </w:p>
    <w:p w14:paraId="01BB4005" w14:textId="77777777" w:rsidR="00406567" w:rsidRPr="00406567" w:rsidRDefault="00406567" w:rsidP="00406567">
      <w:pPr>
        <w:numPr>
          <w:ilvl w:val="0"/>
          <w:numId w:val="7"/>
        </w:numPr>
      </w:pPr>
      <w:r w:rsidRPr="00406567">
        <w:t>Long tenure (the "Loyal Low-Spend" and "Long-Term High-Value" segments, both with 54+ months average tenure, have the lowest churn rates at 5% and 16% respectively).</w:t>
      </w:r>
    </w:p>
    <w:p w14:paraId="0793ABA7" w14:textId="77777777" w:rsidR="00406567" w:rsidRPr="00406567" w:rsidRDefault="00406567" w:rsidP="00406567">
      <w:pPr>
        <w:numPr>
          <w:ilvl w:val="0"/>
          <w:numId w:val="7"/>
        </w:numPr>
      </w:pPr>
      <w:r w:rsidRPr="00406567">
        <w:t>Lower monthly charges relative to tenure stage — the lowest-churn segment overall combines long tenure with comparatively low charges.</w:t>
      </w:r>
    </w:p>
    <w:p w14:paraId="472CE31D" w14:textId="77777777" w:rsidR="00406567" w:rsidRPr="00406567" w:rsidRDefault="00406567" w:rsidP="00406567">
      <w:r w:rsidRPr="00406567">
        <w:t>Together, these findings indicate that retention is primarily a function of how a customer is treated and priced in their first year, more than any demographic trait.</w:t>
      </w:r>
    </w:p>
    <w:p w14:paraId="78487748" w14:textId="77777777" w:rsidR="00D4425F" w:rsidRPr="00406567" w:rsidRDefault="00D4425F" w:rsidP="00406567"/>
    <w:sectPr w:rsidR="00D4425F" w:rsidRPr="00406567" w:rsidSect="0008121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213E"/>
    <w:multiLevelType w:val="multilevel"/>
    <w:tmpl w:val="DF46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1635"/>
    <w:multiLevelType w:val="multilevel"/>
    <w:tmpl w:val="3EAC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46D39"/>
    <w:multiLevelType w:val="multilevel"/>
    <w:tmpl w:val="E6A8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C33E72"/>
    <w:multiLevelType w:val="multilevel"/>
    <w:tmpl w:val="A3E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A7426"/>
    <w:multiLevelType w:val="multilevel"/>
    <w:tmpl w:val="4A6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7165C"/>
    <w:multiLevelType w:val="multilevel"/>
    <w:tmpl w:val="D8D6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E7E5E"/>
    <w:multiLevelType w:val="multilevel"/>
    <w:tmpl w:val="50D2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362181">
    <w:abstractNumId w:val="3"/>
  </w:num>
  <w:num w:numId="2" w16cid:durableId="1397898220">
    <w:abstractNumId w:val="4"/>
  </w:num>
  <w:num w:numId="3" w16cid:durableId="1500075819">
    <w:abstractNumId w:val="0"/>
  </w:num>
  <w:num w:numId="4" w16cid:durableId="902908864">
    <w:abstractNumId w:val="1"/>
  </w:num>
  <w:num w:numId="5" w16cid:durableId="1394087158">
    <w:abstractNumId w:val="5"/>
  </w:num>
  <w:num w:numId="6" w16cid:durableId="1661274308">
    <w:abstractNumId w:val="2"/>
  </w:num>
  <w:num w:numId="7" w16cid:durableId="4245026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21F"/>
    <w:rsid w:val="0008121F"/>
    <w:rsid w:val="003410AA"/>
    <w:rsid w:val="0035291B"/>
    <w:rsid w:val="00406567"/>
    <w:rsid w:val="007050C8"/>
    <w:rsid w:val="007F1391"/>
    <w:rsid w:val="00AF11AE"/>
    <w:rsid w:val="00B13E8E"/>
    <w:rsid w:val="00C23D92"/>
    <w:rsid w:val="00C345A3"/>
    <w:rsid w:val="00C95166"/>
    <w:rsid w:val="00D15E60"/>
    <w:rsid w:val="00D4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55C6D"/>
  <w15:chartTrackingRefBased/>
  <w15:docId w15:val="{C7942EBE-B722-47AD-A710-EB024B49C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21F"/>
    <w:pPr>
      <w:jc w:val="both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121F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21F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1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21F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121F"/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1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2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12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Arafat Hossain</cp:lastModifiedBy>
  <cp:revision>5</cp:revision>
  <dcterms:created xsi:type="dcterms:W3CDTF">2026-10-15T10:22:00Z</dcterms:created>
  <dcterms:modified xsi:type="dcterms:W3CDTF">2026-10-15T10:42:00Z</dcterms:modified>
</cp:coreProperties>
</file>