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CC28" w14:textId="77777777" w:rsidR="00074D5B" w:rsidRPr="00074D5B" w:rsidRDefault="00074D5B" w:rsidP="00DC142B">
      <w:pPr>
        <w:pStyle w:val="Heading1"/>
      </w:pPr>
      <w:r w:rsidRPr="00074D5B">
        <w:t>Recommendations for Targeted Retention Strategies</w:t>
      </w:r>
    </w:p>
    <w:p w14:paraId="20EEE430" w14:textId="77777777" w:rsidR="00074D5B" w:rsidRPr="00074D5B" w:rsidRDefault="00074D5B" w:rsidP="00074D5B">
      <w:r w:rsidRPr="00074D5B">
        <w:t>These recommendations follow directly from the two consistent findings across both the clustering analysis and the ANN model: short tenure and high monthly charges are the dominant churn drivers, and their combination is the highest-risk profile.</w:t>
      </w:r>
    </w:p>
    <w:p w14:paraId="07B4CE1F" w14:textId="77777777" w:rsidR="00074D5B" w:rsidRPr="00074D5B" w:rsidRDefault="00074D5B" w:rsidP="00DC142B">
      <w:pPr>
        <w:pStyle w:val="Heading2"/>
      </w:pPr>
      <w:r w:rsidRPr="00074D5B">
        <w:t xml:space="preserve">Recommendation 1: </w:t>
      </w:r>
      <w:proofErr w:type="spellStart"/>
      <w:r w:rsidRPr="00074D5B">
        <w:t>Prioritise</w:t>
      </w:r>
      <w:proofErr w:type="spellEnd"/>
      <w:r w:rsidRPr="00074D5B">
        <w:t xml:space="preserve"> Retention Efforts on New, High-Paying Customers</w:t>
      </w:r>
    </w:p>
    <w:p w14:paraId="3E543615" w14:textId="77777777" w:rsidR="00074D5B" w:rsidRPr="00074D5B" w:rsidRDefault="00074D5B" w:rsidP="00074D5B">
      <w:r w:rsidRPr="00074D5B">
        <w:t>The "At-Risk New Customers" segment (short tenure, high monthly charges) churns at 49% — by far the highest of any group identified. This segment should be the primary target for retention spend and effort, rather than spreading retention budget evenly across all customers.</w:t>
      </w:r>
    </w:p>
    <w:p w14:paraId="3FAB8DA9" w14:textId="77777777" w:rsidR="00074D5B" w:rsidRPr="00074D5B" w:rsidRDefault="00074D5B" w:rsidP="00074D5B">
      <w:r w:rsidRPr="00074D5B">
        <w:rPr>
          <w:b/>
          <w:bCs/>
        </w:rPr>
        <w:t>Suggested actions:</w:t>
      </w:r>
    </w:p>
    <w:p w14:paraId="3366518E" w14:textId="77777777" w:rsidR="00074D5B" w:rsidRPr="00074D5B" w:rsidRDefault="00074D5B" w:rsidP="00074D5B">
      <w:pPr>
        <w:numPr>
          <w:ilvl w:val="0"/>
          <w:numId w:val="8"/>
        </w:numPr>
      </w:pPr>
      <w:r w:rsidRPr="00074D5B">
        <w:t xml:space="preserve">Flag customers who are both within their first ~12 months </w:t>
      </w:r>
      <w:r w:rsidRPr="00074D5B">
        <w:rPr>
          <w:i/>
          <w:iCs/>
        </w:rPr>
        <w:t>and</w:t>
      </w:r>
      <w:r w:rsidRPr="00074D5B">
        <w:t xml:space="preserve"> on above-average monthly charges as "high-risk" in the CRM.</w:t>
      </w:r>
    </w:p>
    <w:p w14:paraId="77538129" w14:textId="77777777" w:rsidR="00074D5B" w:rsidRPr="00074D5B" w:rsidRDefault="00074D5B" w:rsidP="00074D5B">
      <w:pPr>
        <w:numPr>
          <w:ilvl w:val="0"/>
          <w:numId w:val="8"/>
        </w:numPr>
      </w:pPr>
      <w:proofErr w:type="spellStart"/>
      <w:r w:rsidRPr="00074D5B">
        <w:t>Prioritise</w:t>
      </w:r>
      <w:proofErr w:type="spellEnd"/>
      <w:r w:rsidRPr="00074D5B">
        <w:t xml:space="preserve"> this segment for proactive outreach rather than waiting for churn signals.</w:t>
      </w:r>
    </w:p>
    <w:p w14:paraId="598EF429" w14:textId="77777777" w:rsidR="00074D5B" w:rsidRPr="00074D5B" w:rsidRDefault="00074D5B" w:rsidP="00DC142B">
      <w:pPr>
        <w:pStyle w:val="Heading2"/>
      </w:pPr>
      <w:r w:rsidRPr="00074D5B">
        <w:t>Recommendation 2: Introduce an Onboarding/Early-Tenure Retention Program</w:t>
      </w:r>
    </w:p>
    <w:p w14:paraId="5C39A2E2" w14:textId="77777777" w:rsidR="00074D5B" w:rsidRPr="00074D5B" w:rsidRDefault="00074D5B" w:rsidP="00074D5B">
      <w:r w:rsidRPr="00074D5B">
        <w:t>Since churn risk is highest in the first year regardless of segment, a structured onboarding period could reduce early departures broadly.</w:t>
      </w:r>
    </w:p>
    <w:p w14:paraId="2A2A97B6" w14:textId="77777777" w:rsidR="00074D5B" w:rsidRPr="00074D5B" w:rsidRDefault="00074D5B" w:rsidP="00074D5B">
      <w:r w:rsidRPr="00074D5B">
        <w:rPr>
          <w:b/>
          <w:bCs/>
        </w:rPr>
        <w:t>Suggested actions:</w:t>
      </w:r>
    </w:p>
    <w:p w14:paraId="3F0AF244" w14:textId="77777777" w:rsidR="00074D5B" w:rsidRPr="00074D5B" w:rsidRDefault="00074D5B" w:rsidP="00074D5B">
      <w:pPr>
        <w:numPr>
          <w:ilvl w:val="0"/>
          <w:numId w:val="9"/>
        </w:numPr>
      </w:pPr>
      <w:r w:rsidRPr="00074D5B">
        <w:t>A short-term discount or "settling-in" rate for the first 3–6 months on higher-cost plans, easing new customers into full pricing gradually.</w:t>
      </w:r>
    </w:p>
    <w:p w14:paraId="21FCE9AE" w14:textId="77777777" w:rsidR="00074D5B" w:rsidRPr="00074D5B" w:rsidRDefault="00074D5B" w:rsidP="00074D5B">
      <w:pPr>
        <w:numPr>
          <w:ilvl w:val="0"/>
          <w:numId w:val="9"/>
        </w:numPr>
      </w:pPr>
      <w:r w:rsidRPr="00074D5B">
        <w:t>Proactive check-in contact (email, call, or app notification) at key early milestones (30, 90, 180 days) to catch dissatisfaction before it becomes churn.</w:t>
      </w:r>
    </w:p>
    <w:p w14:paraId="7E9D7CEB" w14:textId="77777777" w:rsidR="00074D5B" w:rsidRPr="00074D5B" w:rsidRDefault="00074D5B" w:rsidP="00DC142B">
      <w:pPr>
        <w:pStyle w:val="Heading2"/>
      </w:pPr>
      <w:r w:rsidRPr="00074D5B">
        <w:t xml:space="preserve">Recommendation 3: Use the ANN's Churn Probability Score for </w:t>
      </w:r>
      <w:proofErr w:type="spellStart"/>
      <w:r w:rsidRPr="00074D5B">
        <w:t>Prioritised</w:t>
      </w:r>
      <w:proofErr w:type="spellEnd"/>
      <w:r w:rsidRPr="00074D5B">
        <w:t xml:space="preserve"> Outreach</w:t>
      </w:r>
    </w:p>
    <w:p w14:paraId="7ACE32DC" w14:textId="77777777" w:rsidR="00074D5B" w:rsidRPr="00074D5B" w:rsidRDefault="00074D5B" w:rsidP="00074D5B">
      <w:r w:rsidRPr="00074D5B">
        <w:t>Rather than treating churn as binary, the model's predicted probability (not just the 0.5 threshold) can be used to rank customers by risk level, so retention teams can focus on the highest-probability cases first.</w:t>
      </w:r>
    </w:p>
    <w:p w14:paraId="53822CEA" w14:textId="77777777" w:rsidR="00074D5B" w:rsidRPr="00074D5B" w:rsidRDefault="00074D5B" w:rsidP="00074D5B">
      <w:r w:rsidRPr="00074D5B">
        <w:rPr>
          <w:b/>
          <w:bCs/>
        </w:rPr>
        <w:t>Suggested actions:</w:t>
      </w:r>
    </w:p>
    <w:p w14:paraId="4401E4C0" w14:textId="77777777" w:rsidR="00074D5B" w:rsidRPr="00074D5B" w:rsidRDefault="00074D5B" w:rsidP="00074D5B">
      <w:pPr>
        <w:numPr>
          <w:ilvl w:val="0"/>
          <w:numId w:val="10"/>
        </w:numPr>
      </w:pPr>
      <w:r w:rsidRPr="00074D5B">
        <w:t>Export the model's churn probability score for each active customer on a regular basis (e.g. monthly).</w:t>
      </w:r>
    </w:p>
    <w:p w14:paraId="17B16821" w14:textId="77777777" w:rsidR="00074D5B" w:rsidRPr="00074D5B" w:rsidRDefault="00074D5B" w:rsidP="00074D5B">
      <w:pPr>
        <w:numPr>
          <w:ilvl w:val="0"/>
          <w:numId w:val="10"/>
        </w:numPr>
      </w:pPr>
      <w:r w:rsidRPr="00074D5B">
        <w:t>Route the top-risk percentile (e.g., top 10–20% by predicted probability) to a dedicated retention workflow.</w:t>
      </w:r>
    </w:p>
    <w:p w14:paraId="0BF46D51" w14:textId="77777777" w:rsidR="00074D5B" w:rsidRPr="00074D5B" w:rsidRDefault="00074D5B" w:rsidP="00DC142B">
      <w:pPr>
        <w:pStyle w:val="Heading2"/>
      </w:pPr>
      <w:r w:rsidRPr="00074D5B">
        <w:lastRenderedPageBreak/>
        <w:t>Recommendation 4: Consider Loyalty Incentives Tied to Contract Length</w:t>
      </w:r>
    </w:p>
    <w:p w14:paraId="3B128029" w14:textId="77777777" w:rsidR="00074D5B" w:rsidRPr="00074D5B" w:rsidRDefault="00074D5B" w:rsidP="00074D5B">
      <w:r w:rsidRPr="00074D5B">
        <w:t>While contract type was not among the strongest predictors in this model, the lowest-churn segments were also the longest-tenured — and longer contracts are a natural lever to extend tenure.</w:t>
      </w:r>
    </w:p>
    <w:p w14:paraId="4FCB8687" w14:textId="77777777" w:rsidR="00074D5B" w:rsidRPr="00074D5B" w:rsidRDefault="00074D5B" w:rsidP="00074D5B">
      <w:r w:rsidRPr="00074D5B">
        <w:rPr>
          <w:b/>
          <w:bCs/>
        </w:rPr>
        <w:t>Suggested actions:</w:t>
      </w:r>
    </w:p>
    <w:p w14:paraId="4DF4B685" w14:textId="77777777" w:rsidR="00074D5B" w:rsidRPr="00074D5B" w:rsidRDefault="00074D5B" w:rsidP="00074D5B">
      <w:pPr>
        <w:numPr>
          <w:ilvl w:val="0"/>
          <w:numId w:val="11"/>
        </w:numPr>
      </w:pPr>
      <w:r w:rsidRPr="00074D5B">
        <w:t>Offer incentives (small discounts, added features) for customers to move from month-to-month to one- or two-year contracts, particularly for customers newly identified as high-risk.</w:t>
      </w:r>
    </w:p>
    <w:p w14:paraId="400ADF1D" w14:textId="77777777" w:rsidR="00074D5B" w:rsidRPr="00074D5B" w:rsidRDefault="00074D5B" w:rsidP="00074D5B">
      <w:pPr>
        <w:numPr>
          <w:ilvl w:val="0"/>
          <w:numId w:val="11"/>
        </w:numPr>
      </w:pPr>
      <w:r w:rsidRPr="00074D5B">
        <w:t>Revisit this recommendation once more contract-related data (e.g., add-on services, payment method) is available, since the current dataset only weakly captures contract effects.</w:t>
      </w:r>
    </w:p>
    <w:p w14:paraId="7C1E2A5B" w14:textId="77777777" w:rsidR="00074D5B" w:rsidRPr="00074D5B" w:rsidRDefault="00074D5B" w:rsidP="00DC142B">
      <w:pPr>
        <w:pStyle w:val="Heading2"/>
      </w:pPr>
      <w:r w:rsidRPr="00074D5B">
        <w:t>Recommendation 5: Re-Evaluate Pricing Structure for New Customers</w:t>
      </w:r>
    </w:p>
    <w:p w14:paraId="2C4BE88F" w14:textId="77777777" w:rsidR="00074D5B" w:rsidRPr="00074D5B" w:rsidRDefault="00074D5B" w:rsidP="00074D5B">
      <w:r w:rsidRPr="00074D5B">
        <w:t xml:space="preserve">Given that high </w:t>
      </w:r>
      <w:proofErr w:type="spellStart"/>
      <w:r w:rsidRPr="00074D5B">
        <w:t>MonthlyCharges</w:t>
      </w:r>
      <w:proofErr w:type="spellEnd"/>
      <w:r w:rsidRPr="00074D5B">
        <w:t xml:space="preserve"> is strongly associated with churn specifically among new customers, a flat-rate "new customer premium" may be actively working against retention.</w:t>
      </w:r>
    </w:p>
    <w:p w14:paraId="77258765" w14:textId="77777777" w:rsidR="00074D5B" w:rsidRPr="00074D5B" w:rsidRDefault="00074D5B" w:rsidP="00074D5B">
      <w:r w:rsidRPr="00074D5B">
        <w:rPr>
          <w:b/>
          <w:bCs/>
        </w:rPr>
        <w:t>Suggested actions:</w:t>
      </w:r>
    </w:p>
    <w:p w14:paraId="75C81889" w14:textId="77777777" w:rsidR="00074D5B" w:rsidRPr="00074D5B" w:rsidRDefault="00074D5B" w:rsidP="00074D5B">
      <w:pPr>
        <w:numPr>
          <w:ilvl w:val="0"/>
          <w:numId w:val="12"/>
        </w:numPr>
      </w:pPr>
      <w:r w:rsidRPr="00074D5B">
        <w:t>Review whether new customers are being charged at a rate disproportionate to the value they've experienced so far.</w:t>
      </w:r>
    </w:p>
    <w:p w14:paraId="186240E0" w14:textId="77777777" w:rsidR="00074D5B" w:rsidRPr="00074D5B" w:rsidRDefault="00074D5B" w:rsidP="00074D5B">
      <w:pPr>
        <w:numPr>
          <w:ilvl w:val="0"/>
          <w:numId w:val="12"/>
        </w:numPr>
      </w:pPr>
      <w:r w:rsidRPr="00074D5B">
        <w:t>Test a gradual price ramp-up (lower initial rate, increasing over the first year) against the current flat-rate approach, and measure the effect on this segment's churn rate specifically.</w:t>
      </w:r>
    </w:p>
    <w:p w14:paraId="0C5F83A8" w14:textId="77777777" w:rsidR="00074D5B" w:rsidRPr="00074D5B" w:rsidRDefault="00074D5B" w:rsidP="00DC142B">
      <w:pPr>
        <w:pStyle w:val="Heading2"/>
      </w:pPr>
      <w:r w:rsidRPr="00074D5B">
        <w:t>Measuring Success</w:t>
      </w:r>
    </w:p>
    <w:p w14:paraId="474A72F0" w14:textId="77777777" w:rsidR="00074D5B" w:rsidRPr="00074D5B" w:rsidRDefault="00074D5B" w:rsidP="00074D5B">
      <w:r w:rsidRPr="00074D5B">
        <w:t xml:space="preserve">Any of the above initiatives should be evaluated by tracking the churn rate specifically within the "At-Risk New Customers" segment over time, since that is the </w:t>
      </w:r>
      <w:proofErr w:type="gramStart"/>
      <w:r w:rsidRPr="00074D5B">
        <w:t>segment</w:t>
      </w:r>
      <w:proofErr w:type="gramEnd"/>
      <w:r w:rsidRPr="00074D5B">
        <w:t xml:space="preserve"> these recommendations are designed to address — a reduction there would be the clearest sign of success, more informative than overall churn rate alone.</w:t>
      </w:r>
    </w:p>
    <w:p w14:paraId="78487748" w14:textId="77777777" w:rsidR="00D4425F" w:rsidRPr="00406567" w:rsidRDefault="00D4425F" w:rsidP="00406567"/>
    <w:sectPr w:rsidR="00D4425F" w:rsidRPr="00406567" w:rsidSect="0008121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213E"/>
    <w:multiLevelType w:val="multilevel"/>
    <w:tmpl w:val="DF46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E1635"/>
    <w:multiLevelType w:val="multilevel"/>
    <w:tmpl w:val="3EAC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B16E7"/>
    <w:multiLevelType w:val="multilevel"/>
    <w:tmpl w:val="8660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83C34"/>
    <w:multiLevelType w:val="multilevel"/>
    <w:tmpl w:val="D12A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46D39"/>
    <w:multiLevelType w:val="multilevel"/>
    <w:tmpl w:val="E6A87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C33E72"/>
    <w:multiLevelType w:val="multilevel"/>
    <w:tmpl w:val="A3E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A7426"/>
    <w:multiLevelType w:val="multilevel"/>
    <w:tmpl w:val="4A6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16B00"/>
    <w:multiLevelType w:val="multilevel"/>
    <w:tmpl w:val="4490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7165C"/>
    <w:multiLevelType w:val="multilevel"/>
    <w:tmpl w:val="D8D6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E7E5E"/>
    <w:multiLevelType w:val="multilevel"/>
    <w:tmpl w:val="50D2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E30A52"/>
    <w:multiLevelType w:val="multilevel"/>
    <w:tmpl w:val="242A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EE4522"/>
    <w:multiLevelType w:val="multilevel"/>
    <w:tmpl w:val="DCCC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362181">
    <w:abstractNumId w:val="5"/>
  </w:num>
  <w:num w:numId="2" w16cid:durableId="1397898220">
    <w:abstractNumId w:val="6"/>
  </w:num>
  <w:num w:numId="3" w16cid:durableId="1500075819">
    <w:abstractNumId w:val="0"/>
  </w:num>
  <w:num w:numId="4" w16cid:durableId="902908864">
    <w:abstractNumId w:val="1"/>
  </w:num>
  <w:num w:numId="5" w16cid:durableId="1394087158">
    <w:abstractNumId w:val="8"/>
  </w:num>
  <w:num w:numId="6" w16cid:durableId="1661274308">
    <w:abstractNumId w:val="4"/>
  </w:num>
  <w:num w:numId="7" w16cid:durableId="424502629">
    <w:abstractNumId w:val="9"/>
  </w:num>
  <w:num w:numId="8" w16cid:durableId="1148665973">
    <w:abstractNumId w:val="11"/>
  </w:num>
  <w:num w:numId="9" w16cid:durableId="308901774">
    <w:abstractNumId w:val="3"/>
  </w:num>
  <w:num w:numId="10" w16cid:durableId="1854492557">
    <w:abstractNumId w:val="7"/>
  </w:num>
  <w:num w:numId="11" w16cid:durableId="65997383">
    <w:abstractNumId w:val="2"/>
  </w:num>
  <w:num w:numId="12" w16cid:durableId="18068478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21F"/>
    <w:rsid w:val="00074D5B"/>
    <w:rsid w:val="0008121F"/>
    <w:rsid w:val="0035291B"/>
    <w:rsid w:val="00406567"/>
    <w:rsid w:val="007050C8"/>
    <w:rsid w:val="007F1391"/>
    <w:rsid w:val="009E03F6"/>
    <w:rsid w:val="00AF11AE"/>
    <w:rsid w:val="00B13E8E"/>
    <w:rsid w:val="00C23D92"/>
    <w:rsid w:val="00C95166"/>
    <w:rsid w:val="00D15E60"/>
    <w:rsid w:val="00D4425F"/>
    <w:rsid w:val="00DC142B"/>
    <w:rsid w:val="00E44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5C6D"/>
  <w15:chartTrackingRefBased/>
  <w15:docId w15:val="{C7942EBE-B722-47AD-A710-EB024B49C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21F"/>
    <w:pPr>
      <w:jc w:val="both"/>
    </w:pPr>
    <w:rPr>
      <w:rFonts w:ascii="Times New Roman" w:hAnsi="Times New Roman" w:cs="Times New Roman"/>
    </w:rPr>
  </w:style>
  <w:style w:type="paragraph" w:styleId="Heading1">
    <w:name w:val="heading 1"/>
    <w:basedOn w:val="Normal"/>
    <w:next w:val="Normal"/>
    <w:link w:val="Heading1Char"/>
    <w:uiPriority w:val="9"/>
    <w:qFormat/>
    <w:rsid w:val="0008121F"/>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08121F"/>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08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21F"/>
    <w:rPr>
      <w:rFonts w:ascii="Times New Roman" w:eastAsiaTheme="majorEastAsia"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0008121F"/>
    <w:rPr>
      <w:rFonts w:ascii="Times New Roman" w:eastAsiaTheme="majorEastAsia"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rsid w:val="0008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21F"/>
    <w:rPr>
      <w:rFonts w:eastAsiaTheme="majorEastAsia" w:cstheme="majorBidi"/>
      <w:color w:val="272727" w:themeColor="text1" w:themeTint="D8"/>
    </w:rPr>
  </w:style>
  <w:style w:type="paragraph" w:styleId="Title">
    <w:name w:val="Title"/>
    <w:basedOn w:val="Normal"/>
    <w:next w:val="Normal"/>
    <w:link w:val="TitleChar"/>
    <w:uiPriority w:val="10"/>
    <w:qFormat/>
    <w:rsid w:val="0008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21F"/>
    <w:pPr>
      <w:spacing w:before="160"/>
      <w:jc w:val="center"/>
    </w:pPr>
    <w:rPr>
      <w:i/>
      <w:iCs/>
      <w:color w:val="404040" w:themeColor="text1" w:themeTint="BF"/>
    </w:rPr>
  </w:style>
  <w:style w:type="character" w:customStyle="1" w:styleId="QuoteChar">
    <w:name w:val="Quote Char"/>
    <w:basedOn w:val="DefaultParagraphFont"/>
    <w:link w:val="Quote"/>
    <w:uiPriority w:val="29"/>
    <w:rsid w:val="0008121F"/>
    <w:rPr>
      <w:i/>
      <w:iCs/>
      <w:color w:val="404040" w:themeColor="text1" w:themeTint="BF"/>
    </w:rPr>
  </w:style>
  <w:style w:type="paragraph" w:styleId="ListParagraph">
    <w:name w:val="List Paragraph"/>
    <w:basedOn w:val="Normal"/>
    <w:uiPriority w:val="34"/>
    <w:qFormat/>
    <w:rsid w:val="0008121F"/>
    <w:pPr>
      <w:ind w:left="720"/>
      <w:contextualSpacing/>
    </w:pPr>
  </w:style>
  <w:style w:type="character" w:styleId="IntenseEmphasis">
    <w:name w:val="Intense Emphasis"/>
    <w:basedOn w:val="DefaultParagraphFont"/>
    <w:uiPriority w:val="21"/>
    <w:qFormat/>
    <w:rsid w:val="0008121F"/>
    <w:rPr>
      <w:i/>
      <w:iCs/>
      <w:color w:val="0F4761" w:themeColor="accent1" w:themeShade="BF"/>
    </w:rPr>
  </w:style>
  <w:style w:type="paragraph" w:styleId="IntenseQuote">
    <w:name w:val="Intense Quote"/>
    <w:basedOn w:val="Normal"/>
    <w:next w:val="Normal"/>
    <w:link w:val="IntenseQuoteChar"/>
    <w:uiPriority w:val="30"/>
    <w:qFormat/>
    <w:rsid w:val="0008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21F"/>
    <w:rPr>
      <w:i/>
      <w:iCs/>
      <w:color w:val="0F4761" w:themeColor="accent1" w:themeShade="BF"/>
    </w:rPr>
  </w:style>
  <w:style w:type="character" w:styleId="IntenseReference">
    <w:name w:val="Intense Reference"/>
    <w:basedOn w:val="DefaultParagraphFont"/>
    <w:uiPriority w:val="32"/>
    <w:qFormat/>
    <w:rsid w:val="0008121F"/>
    <w:rPr>
      <w:b/>
      <w:bCs/>
      <w:smallCaps/>
      <w:color w:val="0F4761" w:themeColor="accent1" w:themeShade="BF"/>
      <w:spacing w:val="5"/>
    </w:rPr>
  </w:style>
  <w:style w:type="table" w:styleId="TableGrid">
    <w:name w:val="Table Grid"/>
    <w:basedOn w:val="TableNormal"/>
    <w:uiPriority w:val="39"/>
    <w:rsid w:val="00081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Arafat Hossain</cp:lastModifiedBy>
  <cp:revision>5</cp:revision>
  <dcterms:created xsi:type="dcterms:W3CDTF">2026-10-15T10:24:00Z</dcterms:created>
  <dcterms:modified xsi:type="dcterms:W3CDTF">2026-10-15T10:25:00Z</dcterms:modified>
</cp:coreProperties>
</file>