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C394" w14:textId="77777777" w:rsidR="00D15E60" w:rsidRPr="00D15E60" w:rsidRDefault="00D15E60" w:rsidP="007F1391">
      <w:pPr>
        <w:pStyle w:val="Heading1"/>
      </w:pPr>
      <w:r w:rsidRPr="00D15E60">
        <w:t>Summary of Key Findings</w:t>
      </w:r>
    </w:p>
    <w:p w14:paraId="7EEFDCA7" w14:textId="77777777" w:rsidR="00D15E60" w:rsidRPr="00D15E60" w:rsidRDefault="00D15E60" w:rsidP="007F1391">
      <w:pPr>
        <w:pStyle w:val="Heading2"/>
      </w:pPr>
      <w:r w:rsidRPr="00D15E60">
        <w:t>Overview</w:t>
      </w:r>
    </w:p>
    <w:p w14:paraId="52F0F558" w14:textId="77777777" w:rsidR="00D15E60" w:rsidRPr="00D15E60" w:rsidRDefault="00D15E60" w:rsidP="00D15E60">
      <w:r w:rsidRPr="00D15E60">
        <w:t>This report summarises the findings from the full customer churn analysis for the telecommunications company, combining the Stage 2 clustering analysis (customer segmentation) with the Stage 3 predictive modeling (ANN churn prediction).</w:t>
      </w:r>
    </w:p>
    <w:p w14:paraId="0101026C" w14:textId="77777777" w:rsidR="00D15E60" w:rsidRPr="00D15E60" w:rsidRDefault="00D15E60" w:rsidP="007F1391">
      <w:pPr>
        <w:pStyle w:val="Heading2"/>
      </w:pPr>
      <w:r w:rsidRPr="00D15E60">
        <w:t>Dataset</w:t>
      </w:r>
    </w:p>
    <w:p w14:paraId="1EC6875C" w14:textId="77777777" w:rsidR="00D15E60" w:rsidRPr="00D15E60" w:rsidRDefault="00D15E60" w:rsidP="00D15E60">
      <w:r w:rsidRPr="00D15E60">
        <w:t>The analysis used a dataset of 7,043 customers, with 10 features covering demographics (gender, senior citizen status, dependents), account details (tenure, contract type, monthly charges), and service usage (phone service, multiple lines, internet service). The target variable, Churn, is imbalanced: 73.5% of customers did not churn, while 26.5% did.</w:t>
      </w:r>
    </w:p>
    <w:p w14:paraId="414388A6" w14:textId="77777777" w:rsidR="00D15E60" w:rsidRPr="00D15E60" w:rsidRDefault="00D15E60" w:rsidP="007F1391">
      <w:pPr>
        <w:pStyle w:val="Heading3"/>
      </w:pPr>
      <w:r w:rsidRPr="00D15E60">
        <w:t>Finding 1: Four Distinct Customer Segments Exist</w:t>
      </w:r>
    </w:p>
    <w:p w14:paraId="56DE1E6F" w14:textId="77777777" w:rsidR="00D15E60" w:rsidRPr="00D15E60" w:rsidRDefault="00D15E60" w:rsidP="00D15E60">
      <w:r w:rsidRPr="00D15E60">
        <w:t>Using K-Means clustering (k = 4, chosen via the elbow method), customers fall into four clearly distinguishable groups:</w:t>
      </w:r>
    </w:p>
    <w:tbl>
      <w:tblPr>
        <w:tblStyle w:val="TableGrid"/>
        <w:tblW w:w="0" w:type="auto"/>
        <w:tblLook w:val="04A0" w:firstRow="1" w:lastRow="0" w:firstColumn="1" w:lastColumn="0" w:noHBand="0" w:noVBand="1"/>
      </w:tblPr>
      <w:tblGrid>
        <w:gridCol w:w="3055"/>
        <w:gridCol w:w="2430"/>
        <w:gridCol w:w="2070"/>
        <w:gridCol w:w="1461"/>
      </w:tblGrid>
      <w:tr w:rsidR="00D15E60" w:rsidRPr="00D15E60" w14:paraId="012461B6" w14:textId="77777777" w:rsidTr="00AF11AE">
        <w:tc>
          <w:tcPr>
            <w:tcW w:w="3055" w:type="dxa"/>
            <w:hideMark/>
          </w:tcPr>
          <w:p w14:paraId="22426D7B" w14:textId="77777777" w:rsidR="00D15E60" w:rsidRPr="00D15E60" w:rsidRDefault="00D15E60" w:rsidP="00D15E60">
            <w:pPr>
              <w:spacing w:after="160" w:line="278" w:lineRule="auto"/>
              <w:rPr>
                <w:b/>
                <w:bCs/>
              </w:rPr>
            </w:pPr>
            <w:r w:rsidRPr="00D15E60">
              <w:rPr>
                <w:b/>
                <w:bCs/>
              </w:rPr>
              <w:t>Segment</w:t>
            </w:r>
          </w:p>
        </w:tc>
        <w:tc>
          <w:tcPr>
            <w:tcW w:w="2430" w:type="dxa"/>
            <w:hideMark/>
          </w:tcPr>
          <w:p w14:paraId="696EC366" w14:textId="77777777" w:rsidR="00D15E60" w:rsidRPr="00D15E60" w:rsidRDefault="00D15E60" w:rsidP="00D15E60">
            <w:pPr>
              <w:spacing w:after="160" w:line="278" w:lineRule="auto"/>
              <w:rPr>
                <w:b/>
                <w:bCs/>
              </w:rPr>
            </w:pPr>
            <w:r w:rsidRPr="00D15E60">
              <w:rPr>
                <w:b/>
                <w:bCs/>
              </w:rPr>
              <w:t>Tenure</w:t>
            </w:r>
          </w:p>
        </w:tc>
        <w:tc>
          <w:tcPr>
            <w:tcW w:w="2070" w:type="dxa"/>
            <w:hideMark/>
          </w:tcPr>
          <w:p w14:paraId="594B1757" w14:textId="77777777" w:rsidR="00D15E60" w:rsidRPr="00D15E60" w:rsidRDefault="00D15E60" w:rsidP="00D15E60">
            <w:pPr>
              <w:spacing w:after="160" w:line="278" w:lineRule="auto"/>
              <w:rPr>
                <w:b/>
                <w:bCs/>
              </w:rPr>
            </w:pPr>
            <w:r w:rsidRPr="00D15E60">
              <w:rPr>
                <w:b/>
                <w:bCs/>
              </w:rPr>
              <w:t>Monthly Charges</w:t>
            </w:r>
          </w:p>
        </w:tc>
        <w:tc>
          <w:tcPr>
            <w:tcW w:w="1461" w:type="dxa"/>
            <w:hideMark/>
          </w:tcPr>
          <w:p w14:paraId="30CB450A" w14:textId="77777777" w:rsidR="00D15E60" w:rsidRPr="00D15E60" w:rsidRDefault="00D15E60" w:rsidP="00D15E60">
            <w:pPr>
              <w:spacing w:after="160" w:line="278" w:lineRule="auto"/>
              <w:rPr>
                <w:b/>
                <w:bCs/>
              </w:rPr>
            </w:pPr>
            <w:r w:rsidRPr="00D15E60">
              <w:rPr>
                <w:b/>
                <w:bCs/>
              </w:rPr>
              <w:t>Churn Rate</w:t>
            </w:r>
          </w:p>
        </w:tc>
      </w:tr>
      <w:tr w:rsidR="00D15E60" w:rsidRPr="00D15E60" w14:paraId="01208223" w14:textId="77777777" w:rsidTr="00AF11AE">
        <w:tc>
          <w:tcPr>
            <w:tcW w:w="3055" w:type="dxa"/>
            <w:hideMark/>
          </w:tcPr>
          <w:p w14:paraId="6BC524C2" w14:textId="77777777" w:rsidR="00D15E60" w:rsidRPr="00D15E60" w:rsidRDefault="00D15E60" w:rsidP="00D15E60">
            <w:pPr>
              <w:spacing w:after="160" w:line="278" w:lineRule="auto"/>
            </w:pPr>
            <w:r w:rsidRPr="00D15E60">
              <w:t>At-Risk New Customers</w:t>
            </w:r>
          </w:p>
        </w:tc>
        <w:tc>
          <w:tcPr>
            <w:tcW w:w="2430" w:type="dxa"/>
            <w:hideMark/>
          </w:tcPr>
          <w:p w14:paraId="052015AD" w14:textId="77777777" w:rsidR="00D15E60" w:rsidRPr="00D15E60" w:rsidRDefault="00D15E60" w:rsidP="00D15E60">
            <w:pPr>
              <w:spacing w:after="160" w:line="278" w:lineRule="auto"/>
            </w:pPr>
            <w:r w:rsidRPr="00D15E60">
              <w:t>Low (~15 mo)</w:t>
            </w:r>
          </w:p>
        </w:tc>
        <w:tc>
          <w:tcPr>
            <w:tcW w:w="2070" w:type="dxa"/>
            <w:hideMark/>
          </w:tcPr>
          <w:p w14:paraId="3AEC3BC8" w14:textId="77777777" w:rsidR="00D15E60" w:rsidRPr="00D15E60" w:rsidRDefault="00D15E60" w:rsidP="00D15E60">
            <w:pPr>
              <w:spacing w:after="160" w:line="278" w:lineRule="auto"/>
            </w:pPr>
            <w:r w:rsidRPr="00D15E60">
              <w:t>High (~$81)</w:t>
            </w:r>
          </w:p>
        </w:tc>
        <w:tc>
          <w:tcPr>
            <w:tcW w:w="1461" w:type="dxa"/>
            <w:hideMark/>
          </w:tcPr>
          <w:p w14:paraId="13BE2866" w14:textId="77777777" w:rsidR="00D15E60" w:rsidRPr="00D15E60" w:rsidRDefault="00D15E60" w:rsidP="00D15E60">
            <w:pPr>
              <w:spacing w:after="160" w:line="278" w:lineRule="auto"/>
            </w:pPr>
            <w:r w:rsidRPr="00D15E60">
              <w:rPr>
                <w:b/>
                <w:bCs/>
              </w:rPr>
              <w:t>49%</w:t>
            </w:r>
          </w:p>
        </w:tc>
      </w:tr>
      <w:tr w:rsidR="00D15E60" w:rsidRPr="00D15E60" w14:paraId="418A531F" w14:textId="77777777" w:rsidTr="00AF11AE">
        <w:tc>
          <w:tcPr>
            <w:tcW w:w="3055" w:type="dxa"/>
            <w:hideMark/>
          </w:tcPr>
          <w:p w14:paraId="572D2B37" w14:textId="77777777" w:rsidR="00D15E60" w:rsidRPr="00D15E60" w:rsidRDefault="00D15E60" w:rsidP="00D15E60">
            <w:pPr>
              <w:spacing w:after="160" w:line="278" w:lineRule="auto"/>
            </w:pPr>
            <w:r w:rsidRPr="00D15E60">
              <w:t>Loyal Low-Spend Customers</w:t>
            </w:r>
          </w:p>
        </w:tc>
        <w:tc>
          <w:tcPr>
            <w:tcW w:w="2430" w:type="dxa"/>
            <w:hideMark/>
          </w:tcPr>
          <w:p w14:paraId="7ADFC727" w14:textId="77777777" w:rsidR="00D15E60" w:rsidRPr="00D15E60" w:rsidRDefault="00D15E60" w:rsidP="00D15E60">
            <w:pPr>
              <w:spacing w:after="160" w:line="278" w:lineRule="auto"/>
            </w:pPr>
            <w:r w:rsidRPr="00D15E60">
              <w:t>High (~54 mo)</w:t>
            </w:r>
          </w:p>
        </w:tc>
        <w:tc>
          <w:tcPr>
            <w:tcW w:w="2070" w:type="dxa"/>
            <w:hideMark/>
          </w:tcPr>
          <w:p w14:paraId="75E8173B" w14:textId="77777777" w:rsidR="00D15E60" w:rsidRPr="00D15E60" w:rsidRDefault="00D15E60" w:rsidP="00D15E60">
            <w:pPr>
              <w:spacing w:after="160" w:line="278" w:lineRule="auto"/>
            </w:pPr>
            <w:r w:rsidRPr="00D15E60">
              <w:t>Low (~$35)</w:t>
            </w:r>
          </w:p>
        </w:tc>
        <w:tc>
          <w:tcPr>
            <w:tcW w:w="1461" w:type="dxa"/>
            <w:hideMark/>
          </w:tcPr>
          <w:p w14:paraId="63D01A35" w14:textId="77777777" w:rsidR="00D15E60" w:rsidRPr="00D15E60" w:rsidRDefault="00D15E60" w:rsidP="00D15E60">
            <w:pPr>
              <w:spacing w:after="160" w:line="278" w:lineRule="auto"/>
            </w:pPr>
            <w:r w:rsidRPr="00D15E60">
              <w:t>5%</w:t>
            </w:r>
          </w:p>
        </w:tc>
      </w:tr>
      <w:tr w:rsidR="00D15E60" w:rsidRPr="00D15E60" w14:paraId="413B649C" w14:textId="77777777" w:rsidTr="00AF11AE">
        <w:tc>
          <w:tcPr>
            <w:tcW w:w="3055" w:type="dxa"/>
            <w:hideMark/>
          </w:tcPr>
          <w:p w14:paraId="72A3AD5E" w14:textId="77777777" w:rsidR="00D15E60" w:rsidRPr="00D15E60" w:rsidRDefault="00D15E60" w:rsidP="00D15E60">
            <w:pPr>
              <w:spacing w:after="160" w:line="278" w:lineRule="auto"/>
            </w:pPr>
            <w:r w:rsidRPr="00D15E60">
              <w:t>Long-Term High-Value Customers</w:t>
            </w:r>
          </w:p>
        </w:tc>
        <w:tc>
          <w:tcPr>
            <w:tcW w:w="2430" w:type="dxa"/>
            <w:hideMark/>
          </w:tcPr>
          <w:p w14:paraId="0C3ED893" w14:textId="77777777" w:rsidR="00D15E60" w:rsidRPr="00D15E60" w:rsidRDefault="00D15E60" w:rsidP="00D15E60">
            <w:pPr>
              <w:spacing w:after="160" w:line="278" w:lineRule="auto"/>
            </w:pPr>
            <w:r w:rsidRPr="00D15E60">
              <w:t>High (~59 mo)</w:t>
            </w:r>
          </w:p>
        </w:tc>
        <w:tc>
          <w:tcPr>
            <w:tcW w:w="2070" w:type="dxa"/>
            <w:hideMark/>
          </w:tcPr>
          <w:p w14:paraId="620748C1" w14:textId="77777777" w:rsidR="00D15E60" w:rsidRPr="00D15E60" w:rsidRDefault="00D15E60" w:rsidP="00D15E60">
            <w:pPr>
              <w:spacing w:after="160" w:line="278" w:lineRule="auto"/>
            </w:pPr>
            <w:r w:rsidRPr="00D15E60">
              <w:t>High (~$94)</w:t>
            </w:r>
          </w:p>
        </w:tc>
        <w:tc>
          <w:tcPr>
            <w:tcW w:w="1461" w:type="dxa"/>
            <w:hideMark/>
          </w:tcPr>
          <w:p w14:paraId="4C7F0DA6" w14:textId="77777777" w:rsidR="00D15E60" w:rsidRPr="00D15E60" w:rsidRDefault="00D15E60" w:rsidP="00D15E60">
            <w:pPr>
              <w:spacing w:after="160" w:line="278" w:lineRule="auto"/>
            </w:pPr>
            <w:r w:rsidRPr="00D15E60">
              <w:t>16%</w:t>
            </w:r>
          </w:p>
        </w:tc>
      </w:tr>
      <w:tr w:rsidR="00D15E60" w:rsidRPr="00D15E60" w14:paraId="349C1D6A" w14:textId="77777777" w:rsidTr="00AF11AE">
        <w:tc>
          <w:tcPr>
            <w:tcW w:w="3055" w:type="dxa"/>
            <w:hideMark/>
          </w:tcPr>
          <w:p w14:paraId="1E8F7D34" w14:textId="77777777" w:rsidR="00D15E60" w:rsidRPr="00D15E60" w:rsidRDefault="00D15E60" w:rsidP="00D15E60">
            <w:pPr>
              <w:spacing w:after="160" w:line="278" w:lineRule="auto"/>
            </w:pPr>
            <w:r w:rsidRPr="00D15E60">
              <w:t>New Budget Customers</w:t>
            </w:r>
          </w:p>
        </w:tc>
        <w:tc>
          <w:tcPr>
            <w:tcW w:w="2430" w:type="dxa"/>
            <w:hideMark/>
          </w:tcPr>
          <w:p w14:paraId="01C30724" w14:textId="77777777" w:rsidR="00D15E60" w:rsidRPr="00D15E60" w:rsidRDefault="00D15E60" w:rsidP="00D15E60">
            <w:pPr>
              <w:spacing w:after="160" w:line="278" w:lineRule="auto"/>
            </w:pPr>
            <w:r w:rsidRPr="00D15E60">
              <w:t>Very Low (~11 mo)</w:t>
            </w:r>
          </w:p>
        </w:tc>
        <w:tc>
          <w:tcPr>
            <w:tcW w:w="2070" w:type="dxa"/>
            <w:hideMark/>
          </w:tcPr>
          <w:p w14:paraId="31F59BFD" w14:textId="77777777" w:rsidR="00D15E60" w:rsidRPr="00D15E60" w:rsidRDefault="00D15E60" w:rsidP="00D15E60">
            <w:pPr>
              <w:spacing w:after="160" w:line="278" w:lineRule="auto"/>
            </w:pPr>
            <w:r w:rsidRPr="00D15E60">
              <w:t>Low (~$32)</w:t>
            </w:r>
          </w:p>
        </w:tc>
        <w:tc>
          <w:tcPr>
            <w:tcW w:w="1461" w:type="dxa"/>
            <w:hideMark/>
          </w:tcPr>
          <w:p w14:paraId="366DFD53" w14:textId="77777777" w:rsidR="00D15E60" w:rsidRPr="00D15E60" w:rsidRDefault="00D15E60" w:rsidP="00D15E60">
            <w:pPr>
              <w:spacing w:after="160" w:line="278" w:lineRule="auto"/>
            </w:pPr>
            <w:r w:rsidRPr="00D15E60">
              <w:t>25%</w:t>
            </w:r>
          </w:p>
        </w:tc>
      </w:tr>
    </w:tbl>
    <w:p w14:paraId="64213130" w14:textId="77777777" w:rsidR="00D15E60" w:rsidRPr="00D15E60" w:rsidRDefault="00D15E60" w:rsidP="00D15E60">
      <w:r w:rsidRPr="00D15E60">
        <w:t>The "At-Risk New Customers" segment — new customers already paying high monthly bills — churns at nearly 10 times the rate of the most loyal segment.</w:t>
      </w:r>
    </w:p>
    <w:p w14:paraId="6868FBCA" w14:textId="77777777" w:rsidR="00D15E60" w:rsidRPr="00D15E60" w:rsidRDefault="00D15E60" w:rsidP="007F1391">
      <w:pPr>
        <w:pStyle w:val="Heading3"/>
      </w:pPr>
      <w:r w:rsidRPr="00D15E60">
        <w:t>Finding 2: The ANN Model Predicts Churn With Good Overall Accuracy</w:t>
      </w:r>
    </w:p>
    <w:p w14:paraId="1E90702B" w14:textId="77777777" w:rsidR="00D15E60" w:rsidRPr="00D15E60" w:rsidRDefault="00D15E60" w:rsidP="00D15E60">
      <w:r w:rsidRPr="00D15E60">
        <w:t>An Artificial Neural Network (2 hidden layers, 16 and 8 neurons, with dropout) was trained on the same prepared dataset and evaluated on a held-out 20% test set (1,409 customers):</w:t>
      </w:r>
    </w:p>
    <w:tbl>
      <w:tblPr>
        <w:tblStyle w:val="TableGrid"/>
        <w:tblW w:w="8871" w:type="dxa"/>
        <w:jc w:val="center"/>
        <w:tblLook w:val="04A0" w:firstRow="1" w:lastRow="0" w:firstColumn="1" w:lastColumn="0" w:noHBand="0" w:noVBand="1"/>
      </w:tblPr>
      <w:tblGrid>
        <w:gridCol w:w="4435"/>
        <w:gridCol w:w="4436"/>
      </w:tblGrid>
      <w:tr w:rsidR="00D15E60" w:rsidRPr="00D15E60" w14:paraId="27203692" w14:textId="77777777" w:rsidTr="00F66216">
        <w:trPr>
          <w:trHeight w:val="551"/>
          <w:jc w:val="center"/>
        </w:trPr>
        <w:tc>
          <w:tcPr>
            <w:tcW w:w="4435" w:type="dxa"/>
            <w:hideMark/>
          </w:tcPr>
          <w:p w14:paraId="262BD7CC" w14:textId="77777777" w:rsidR="00D15E60" w:rsidRPr="00D15E60" w:rsidRDefault="00D15E60" w:rsidP="00D15E60">
            <w:pPr>
              <w:spacing w:after="160" w:line="278" w:lineRule="auto"/>
              <w:rPr>
                <w:b/>
                <w:bCs/>
              </w:rPr>
            </w:pPr>
            <w:r w:rsidRPr="00D15E60">
              <w:rPr>
                <w:b/>
                <w:bCs/>
              </w:rPr>
              <w:t>Metric</w:t>
            </w:r>
          </w:p>
        </w:tc>
        <w:tc>
          <w:tcPr>
            <w:tcW w:w="4436" w:type="dxa"/>
            <w:hideMark/>
          </w:tcPr>
          <w:p w14:paraId="7B026D18" w14:textId="77777777" w:rsidR="00D15E60" w:rsidRPr="00D15E60" w:rsidRDefault="00D15E60" w:rsidP="00D15E60">
            <w:pPr>
              <w:spacing w:after="160" w:line="278" w:lineRule="auto"/>
              <w:rPr>
                <w:b/>
                <w:bCs/>
              </w:rPr>
            </w:pPr>
            <w:r w:rsidRPr="00D15E60">
              <w:rPr>
                <w:b/>
                <w:bCs/>
              </w:rPr>
              <w:t>Result</w:t>
            </w:r>
          </w:p>
        </w:tc>
      </w:tr>
      <w:tr w:rsidR="00D15E60" w:rsidRPr="00D15E60" w14:paraId="31146BAC" w14:textId="77777777" w:rsidTr="00F66216">
        <w:trPr>
          <w:trHeight w:val="536"/>
          <w:jc w:val="center"/>
        </w:trPr>
        <w:tc>
          <w:tcPr>
            <w:tcW w:w="4435" w:type="dxa"/>
            <w:hideMark/>
          </w:tcPr>
          <w:p w14:paraId="19DA3477" w14:textId="77777777" w:rsidR="00D15E60" w:rsidRPr="00D15E60" w:rsidRDefault="00D15E60" w:rsidP="00D15E60">
            <w:pPr>
              <w:spacing w:after="160" w:line="278" w:lineRule="auto"/>
            </w:pPr>
            <w:r w:rsidRPr="00D15E60">
              <w:t>Accuracy</w:t>
            </w:r>
          </w:p>
        </w:tc>
        <w:tc>
          <w:tcPr>
            <w:tcW w:w="4436" w:type="dxa"/>
            <w:hideMark/>
          </w:tcPr>
          <w:p w14:paraId="631B8043" w14:textId="47F9D6C6" w:rsidR="00D15E60" w:rsidRPr="00D15E60" w:rsidRDefault="00D15E60" w:rsidP="00D15E60">
            <w:pPr>
              <w:spacing w:after="160" w:line="278" w:lineRule="auto"/>
            </w:pPr>
            <w:r w:rsidRPr="00D15E60">
              <w:t>78.</w:t>
            </w:r>
            <w:r w:rsidR="00F66216">
              <w:t>99</w:t>
            </w:r>
            <w:r w:rsidRPr="00D15E60">
              <w:t>%</w:t>
            </w:r>
          </w:p>
        </w:tc>
      </w:tr>
      <w:tr w:rsidR="00D15E60" w:rsidRPr="00D15E60" w14:paraId="3D9074DA" w14:textId="77777777" w:rsidTr="00F66216">
        <w:trPr>
          <w:trHeight w:val="551"/>
          <w:jc w:val="center"/>
        </w:trPr>
        <w:tc>
          <w:tcPr>
            <w:tcW w:w="4435" w:type="dxa"/>
            <w:hideMark/>
          </w:tcPr>
          <w:p w14:paraId="77737D72" w14:textId="77777777" w:rsidR="00D15E60" w:rsidRPr="00D15E60" w:rsidRDefault="00D15E60" w:rsidP="00D15E60">
            <w:pPr>
              <w:spacing w:after="160" w:line="278" w:lineRule="auto"/>
            </w:pPr>
            <w:r w:rsidRPr="00D15E60">
              <w:t>Precision (Churn class)</w:t>
            </w:r>
          </w:p>
        </w:tc>
        <w:tc>
          <w:tcPr>
            <w:tcW w:w="4436" w:type="dxa"/>
            <w:hideMark/>
          </w:tcPr>
          <w:p w14:paraId="24A0880F" w14:textId="415B6A30" w:rsidR="00D15E60" w:rsidRPr="00D15E60" w:rsidRDefault="00D15E60" w:rsidP="00D15E60">
            <w:pPr>
              <w:spacing w:after="160" w:line="278" w:lineRule="auto"/>
            </w:pPr>
            <w:r w:rsidRPr="00D15E60">
              <w:t>6</w:t>
            </w:r>
            <w:r w:rsidR="00F66216">
              <w:t>5.00</w:t>
            </w:r>
            <w:r w:rsidRPr="00D15E60">
              <w:t>%</w:t>
            </w:r>
          </w:p>
        </w:tc>
      </w:tr>
      <w:tr w:rsidR="00D15E60" w:rsidRPr="00D15E60" w14:paraId="53839063" w14:textId="77777777" w:rsidTr="00F66216">
        <w:trPr>
          <w:trHeight w:val="551"/>
          <w:jc w:val="center"/>
        </w:trPr>
        <w:tc>
          <w:tcPr>
            <w:tcW w:w="4435" w:type="dxa"/>
            <w:hideMark/>
          </w:tcPr>
          <w:p w14:paraId="69DF9B05" w14:textId="77777777" w:rsidR="00D15E60" w:rsidRPr="00D15E60" w:rsidRDefault="00D15E60" w:rsidP="00D15E60">
            <w:pPr>
              <w:spacing w:after="160" w:line="278" w:lineRule="auto"/>
            </w:pPr>
            <w:r w:rsidRPr="00D15E60">
              <w:t>Recall (Churn class)</w:t>
            </w:r>
          </w:p>
        </w:tc>
        <w:tc>
          <w:tcPr>
            <w:tcW w:w="4436" w:type="dxa"/>
            <w:hideMark/>
          </w:tcPr>
          <w:p w14:paraId="424B0820" w14:textId="1310249E" w:rsidR="00D15E60" w:rsidRPr="00D15E60" w:rsidRDefault="00D15E60" w:rsidP="00D15E60">
            <w:pPr>
              <w:spacing w:after="160" w:line="278" w:lineRule="auto"/>
            </w:pPr>
            <w:r w:rsidRPr="00D15E60">
              <w:t>4</w:t>
            </w:r>
            <w:r w:rsidR="00F66216">
              <w:t>5.19</w:t>
            </w:r>
            <w:r w:rsidRPr="00D15E60">
              <w:t>%</w:t>
            </w:r>
          </w:p>
        </w:tc>
      </w:tr>
      <w:tr w:rsidR="00D15E60" w:rsidRPr="00D15E60" w14:paraId="6BF92ED4" w14:textId="77777777" w:rsidTr="00F66216">
        <w:trPr>
          <w:trHeight w:val="536"/>
          <w:jc w:val="center"/>
        </w:trPr>
        <w:tc>
          <w:tcPr>
            <w:tcW w:w="4435" w:type="dxa"/>
            <w:hideMark/>
          </w:tcPr>
          <w:p w14:paraId="7946FADB" w14:textId="77777777" w:rsidR="00D15E60" w:rsidRPr="00D15E60" w:rsidRDefault="00D15E60" w:rsidP="00D15E60">
            <w:pPr>
              <w:spacing w:after="160" w:line="278" w:lineRule="auto"/>
            </w:pPr>
            <w:r w:rsidRPr="00D15E60">
              <w:t>F1 Score (Churn class)</w:t>
            </w:r>
          </w:p>
        </w:tc>
        <w:tc>
          <w:tcPr>
            <w:tcW w:w="4436" w:type="dxa"/>
            <w:hideMark/>
          </w:tcPr>
          <w:p w14:paraId="33129C0B" w14:textId="1E3CF364" w:rsidR="00D15E60" w:rsidRPr="00D15E60" w:rsidRDefault="00D15E60" w:rsidP="00D15E60">
            <w:pPr>
              <w:spacing w:after="160" w:line="278" w:lineRule="auto"/>
            </w:pPr>
            <w:r w:rsidRPr="00D15E60">
              <w:t>0.5</w:t>
            </w:r>
            <w:r w:rsidR="00F66216">
              <w:t>331</w:t>
            </w:r>
          </w:p>
        </w:tc>
      </w:tr>
      <w:tr w:rsidR="00D15E60" w:rsidRPr="00D15E60" w14:paraId="499E8EA2" w14:textId="77777777" w:rsidTr="00F66216">
        <w:trPr>
          <w:trHeight w:val="551"/>
          <w:jc w:val="center"/>
        </w:trPr>
        <w:tc>
          <w:tcPr>
            <w:tcW w:w="4435" w:type="dxa"/>
            <w:hideMark/>
          </w:tcPr>
          <w:p w14:paraId="51867D3E" w14:textId="77777777" w:rsidR="00D15E60" w:rsidRPr="00D15E60" w:rsidRDefault="00D15E60" w:rsidP="00D15E60">
            <w:pPr>
              <w:spacing w:after="160" w:line="278" w:lineRule="auto"/>
            </w:pPr>
            <w:r w:rsidRPr="00D15E60">
              <w:lastRenderedPageBreak/>
              <w:t>ROC-AUC</w:t>
            </w:r>
          </w:p>
        </w:tc>
        <w:tc>
          <w:tcPr>
            <w:tcW w:w="4436" w:type="dxa"/>
            <w:hideMark/>
          </w:tcPr>
          <w:p w14:paraId="2F7F81AD" w14:textId="016FA3E7" w:rsidR="00D15E60" w:rsidRPr="00D15E60" w:rsidRDefault="00D15E60" w:rsidP="00D15E60">
            <w:pPr>
              <w:spacing w:after="160" w:line="278" w:lineRule="auto"/>
            </w:pPr>
            <w:r w:rsidRPr="00D15E60">
              <w:t>0.80</w:t>
            </w:r>
            <w:r w:rsidR="00F66216">
              <w:t>79</w:t>
            </w:r>
          </w:p>
        </w:tc>
      </w:tr>
    </w:tbl>
    <w:p w14:paraId="62D2ACF3" w14:textId="0B4CFCA8" w:rsidR="00D15E60" w:rsidRPr="00D15E60" w:rsidRDefault="00D15E60" w:rsidP="00D15E60">
      <w:r w:rsidRPr="00D15E60">
        <w:t>An ROC-AUC of 0.80</w:t>
      </w:r>
      <w:r w:rsidR="00F66216">
        <w:t>79</w:t>
      </w:r>
      <w:r w:rsidRPr="00D15E60">
        <w:t xml:space="preserve"> indicates the model is good at ranking customers by churn risk, substantially better than random guessing (0.5). However, the recall of 4</w:t>
      </w:r>
      <w:r w:rsidR="00F66216">
        <w:t>5.19</w:t>
      </w:r>
      <w:r w:rsidRPr="00D15E60">
        <w:t>% means the model currently identifies fewer than half of customers who actually churn — this is discussed further in the Limitations report.</w:t>
      </w:r>
    </w:p>
    <w:p w14:paraId="4741C6C9" w14:textId="77777777" w:rsidR="00D15E60" w:rsidRPr="00D15E60" w:rsidRDefault="00D15E60" w:rsidP="007F1391">
      <w:pPr>
        <w:pStyle w:val="Heading2"/>
      </w:pPr>
      <w:r w:rsidRPr="00D15E60">
        <w:t>Finding 3: Tenure and Monthly Charges Are the Dominant Churn Drivers</w:t>
      </w:r>
    </w:p>
    <w:p w14:paraId="4173E50F" w14:textId="77777777" w:rsidR="00D15E60" w:rsidRPr="00D15E60" w:rsidRDefault="00D15E60" w:rsidP="00D15E60">
      <w:r w:rsidRPr="00D15E60">
        <w:t>Two independent analyses — the Stage 2 clustering and the Stage 3 ANN's permutation feature importance — arrived at the same conclusion: churn is driven overwhelmingly by a combination of short tenure and high monthly charges. All other features examined (gender, dependents, phone/internet service type, senior citizen status, contract length) had a comparatively minor or negligible effect on churn predictions.</w:t>
      </w:r>
    </w:p>
    <w:p w14:paraId="16275AB3" w14:textId="77777777" w:rsidR="00D15E60" w:rsidRPr="00D15E60" w:rsidRDefault="00D15E60" w:rsidP="007F1391">
      <w:pPr>
        <w:pStyle w:val="Heading3"/>
      </w:pPr>
      <w:r w:rsidRPr="00D15E60">
        <w:t>Finding 4: New, High-Paying Customers Are the Priority for Retention</w:t>
      </w:r>
    </w:p>
    <w:p w14:paraId="7ECF4E3B" w14:textId="77777777" w:rsidR="00D15E60" w:rsidRPr="00D15E60" w:rsidRDefault="00D15E60" w:rsidP="00D15E60">
      <w:r w:rsidRPr="00D15E60">
        <w:t>Both the segmentation and the predictive model point to the same actionable insight: customers in their first year or so, already on higher-cost plans, are far more likely to leave than long-tenured customers regardless of what they pay. This is the clearest, most consistent signal across the entire analysis, and it directly shapes the retention recommendations in the accompanying report.</w:t>
      </w:r>
    </w:p>
    <w:p w14:paraId="78487748" w14:textId="77777777" w:rsidR="00D4425F" w:rsidRPr="00D15E60" w:rsidRDefault="00D4425F" w:rsidP="00D15E60"/>
    <w:sectPr w:rsidR="00D4425F" w:rsidRPr="00D15E60" w:rsidSect="0008121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13E"/>
    <w:multiLevelType w:val="multilevel"/>
    <w:tmpl w:val="DF46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E1635"/>
    <w:multiLevelType w:val="multilevel"/>
    <w:tmpl w:val="3EAC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33E72"/>
    <w:multiLevelType w:val="multilevel"/>
    <w:tmpl w:val="A3E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A7426"/>
    <w:multiLevelType w:val="multilevel"/>
    <w:tmpl w:val="4A6A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7165C"/>
    <w:multiLevelType w:val="multilevel"/>
    <w:tmpl w:val="D8D6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62181">
    <w:abstractNumId w:val="2"/>
  </w:num>
  <w:num w:numId="2" w16cid:durableId="1397898220">
    <w:abstractNumId w:val="3"/>
  </w:num>
  <w:num w:numId="3" w16cid:durableId="1500075819">
    <w:abstractNumId w:val="0"/>
  </w:num>
  <w:num w:numId="4" w16cid:durableId="902908864">
    <w:abstractNumId w:val="1"/>
  </w:num>
  <w:num w:numId="5" w16cid:durableId="13940871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21F"/>
    <w:rsid w:val="0008121F"/>
    <w:rsid w:val="0035291B"/>
    <w:rsid w:val="007F1391"/>
    <w:rsid w:val="00AF11AE"/>
    <w:rsid w:val="00B13E8E"/>
    <w:rsid w:val="00C95166"/>
    <w:rsid w:val="00D15E60"/>
    <w:rsid w:val="00D4425F"/>
    <w:rsid w:val="00D93D1E"/>
    <w:rsid w:val="00F66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5C6D"/>
  <w15:chartTrackingRefBased/>
  <w15:docId w15:val="{C7942EBE-B722-47AD-A710-EB024B49C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21F"/>
    <w:pPr>
      <w:jc w:val="both"/>
    </w:pPr>
    <w:rPr>
      <w:rFonts w:ascii="Times New Roman" w:hAnsi="Times New Roman" w:cs="Times New Roman"/>
    </w:rPr>
  </w:style>
  <w:style w:type="paragraph" w:styleId="Heading1">
    <w:name w:val="heading 1"/>
    <w:basedOn w:val="Normal"/>
    <w:next w:val="Normal"/>
    <w:link w:val="Heading1Char"/>
    <w:uiPriority w:val="9"/>
    <w:qFormat/>
    <w:rsid w:val="0008121F"/>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8121F"/>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8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21F"/>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8121F"/>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sid w:val="0008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21F"/>
    <w:rPr>
      <w:rFonts w:eastAsiaTheme="majorEastAsia" w:cstheme="majorBidi"/>
      <w:color w:val="272727" w:themeColor="text1" w:themeTint="D8"/>
    </w:rPr>
  </w:style>
  <w:style w:type="paragraph" w:styleId="Title">
    <w:name w:val="Title"/>
    <w:basedOn w:val="Normal"/>
    <w:next w:val="Normal"/>
    <w:link w:val="TitleChar"/>
    <w:uiPriority w:val="10"/>
    <w:qFormat/>
    <w:rsid w:val="0008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21F"/>
    <w:pPr>
      <w:spacing w:before="160"/>
      <w:jc w:val="center"/>
    </w:pPr>
    <w:rPr>
      <w:i/>
      <w:iCs/>
      <w:color w:val="404040" w:themeColor="text1" w:themeTint="BF"/>
    </w:rPr>
  </w:style>
  <w:style w:type="character" w:customStyle="1" w:styleId="QuoteChar">
    <w:name w:val="Quote Char"/>
    <w:basedOn w:val="DefaultParagraphFont"/>
    <w:link w:val="Quote"/>
    <w:uiPriority w:val="29"/>
    <w:rsid w:val="0008121F"/>
    <w:rPr>
      <w:i/>
      <w:iCs/>
      <w:color w:val="404040" w:themeColor="text1" w:themeTint="BF"/>
    </w:rPr>
  </w:style>
  <w:style w:type="paragraph" w:styleId="ListParagraph">
    <w:name w:val="List Paragraph"/>
    <w:basedOn w:val="Normal"/>
    <w:uiPriority w:val="34"/>
    <w:qFormat/>
    <w:rsid w:val="0008121F"/>
    <w:pPr>
      <w:ind w:left="720"/>
      <w:contextualSpacing/>
    </w:pPr>
  </w:style>
  <w:style w:type="character" w:styleId="IntenseEmphasis">
    <w:name w:val="Intense Emphasis"/>
    <w:basedOn w:val="DefaultParagraphFont"/>
    <w:uiPriority w:val="21"/>
    <w:qFormat/>
    <w:rsid w:val="0008121F"/>
    <w:rPr>
      <w:i/>
      <w:iCs/>
      <w:color w:val="0F4761" w:themeColor="accent1" w:themeShade="BF"/>
    </w:rPr>
  </w:style>
  <w:style w:type="paragraph" w:styleId="IntenseQuote">
    <w:name w:val="Intense Quote"/>
    <w:basedOn w:val="Normal"/>
    <w:next w:val="Normal"/>
    <w:link w:val="IntenseQuoteChar"/>
    <w:uiPriority w:val="30"/>
    <w:qFormat/>
    <w:rsid w:val="0008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21F"/>
    <w:rPr>
      <w:i/>
      <w:iCs/>
      <w:color w:val="0F4761" w:themeColor="accent1" w:themeShade="BF"/>
    </w:rPr>
  </w:style>
  <w:style w:type="character" w:styleId="IntenseReference">
    <w:name w:val="Intense Reference"/>
    <w:basedOn w:val="DefaultParagraphFont"/>
    <w:uiPriority w:val="32"/>
    <w:qFormat/>
    <w:rsid w:val="0008121F"/>
    <w:rPr>
      <w:b/>
      <w:bCs/>
      <w:smallCaps/>
      <w:color w:val="0F4761" w:themeColor="accent1" w:themeShade="BF"/>
      <w:spacing w:val="5"/>
    </w:rPr>
  </w:style>
  <w:style w:type="table" w:styleId="TableGrid">
    <w:name w:val="Table Grid"/>
    <w:basedOn w:val="TableNormal"/>
    <w:uiPriority w:val="39"/>
    <w:rsid w:val="00081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Arafat Hossain</cp:lastModifiedBy>
  <cp:revision>5</cp:revision>
  <dcterms:created xsi:type="dcterms:W3CDTF">2026-10-15T10:19:00Z</dcterms:created>
  <dcterms:modified xsi:type="dcterms:W3CDTF">2026-10-15T10:44:00Z</dcterms:modified>
</cp:coreProperties>
</file>