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0D61" w14:textId="77777777" w:rsidR="00780767" w:rsidRDefault="00780767" w:rsidP="00780767">
      <w:pPr>
        <w:pStyle w:val="Heading1"/>
      </w:pPr>
      <w:r>
        <w:t>Cluster Visualization and Labeling</w:t>
      </w:r>
    </w:p>
    <w:p w14:paraId="0B3F2BBE" w14:textId="77777777" w:rsidR="00780767" w:rsidRDefault="00780767" w:rsidP="00780767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Model Summary</w:t>
      </w:r>
    </w:p>
    <w:p w14:paraId="117DC1E9" w14:textId="77777777" w:rsidR="00780767" w:rsidRDefault="00780767" w:rsidP="0078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Algorithm:</w:t>
      </w:r>
      <w:r>
        <w:rPr>
          <w:rFonts w:eastAsia="Times New Roman"/>
          <w:kern w:val="0"/>
          <w14:ligatures w14:val="none"/>
        </w:rPr>
        <w:t xml:space="preserve"> K-Means</w:t>
      </w:r>
    </w:p>
    <w:p w14:paraId="2084CFBA" w14:textId="77777777" w:rsidR="00780767" w:rsidRDefault="00780767" w:rsidP="0078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Number of clusters:</w:t>
      </w:r>
      <w:r>
        <w:rPr>
          <w:rFonts w:eastAsia="Times New Roman"/>
          <w:kern w:val="0"/>
          <w14:ligatures w14:val="none"/>
        </w:rPr>
        <w:t xml:space="preserve"> 4 </w:t>
      </w:r>
    </w:p>
    <w:p w14:paraId="2221E25F" w14:textId="77777777" w:rsidR="00780767" w:rsidRDefault="00780767" w:rsidP="0078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Data used:</w:t>
      </w:r>
      <w:r>
        <w:rPr>
          <w:rFonts w:eastAsia="Times New Roman"/>
          <w:kern w:val="0"/>
          <w14:ligatures w14:val="none"/>
        </w:rPr>
        <w:t xml:space="preserve"> Scaled training set (5,634 customers), using all 9 features (demographics, service usage, contract type, tenure, monthly charges)</w:t>
      </w:r>
    </w:p>
    <w:p w14:paraId="08F61B26" w14:textId="77777777" w:rsidR="00780767" w:rsidRDefault="00780767" w:rsidP="0078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Model file:</w:t>
      </w:r>
      <w:r>
        <w:rPr>
          <w:rFonts w:eastAsia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sz w:val="20"/>
          <w:szCs w:val="20"/>
          <w14:ligatures w14:val="none"/>
        </w:rPr>
        <w:t>kmeans_model.pkl</w:t>
      </w:r>
      <w:proofErr w:type="spellEnd"/>
    </w:p>
    <w:p w14:paraId="647C42F7" w14:textId="77777777" w:rsidR="00780767" w:rsidRDefault="00780767" w:rsidP="00780767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Visualization</w:t>
      </w:r>
    </w:p>
    <w:p w14:paraId="0E21E67C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Since the clustering used 9 features, the results were projected down to 2 dimensions using PCA (Principal Component Analysis) purely for visualization purposes — the clustering itself was performed on the full feature set, not on the PCA output.</w:t>
      </w:r>
    </w:p>
    <w:p w14:paraId="4593D3FA" w14:textId="54B0F8EF" w:rsidR="00780767" w:rsidRDefault="00780767" w:rsidP="00780767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09CABDEE" wp14:editId="1F9FE8C1">
            <wp:extent cx="5731510" cy="4658360"/>
            <wp:effectExtent l="0" t="0" r="2540" b="8890"/>
            <wp:docPr id="385568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E8BF" w14:textId="77777777" w:rsidR="00780767" w:rsidRDefault="00780767" w:rsidP="00780767">
      <w:pPr>
        <w:pStyle w:val="Caption"/>
        <w:jc w:val="center"/>
        <w:rPr>
          <w:rFonts w:eastAsia="Times New Roman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PCA scatter plot colored by cluster</w:t>
      </w:r>
    </w:p>
    <w:p w14:paraId="22E8D9CE" w14:textId="77777777" w:rsidR="00780767" w:rsidRDefault="00780767" w:rsidP="00780767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Cluster Profiles</w:t>
      </w:r>
    </w:p>
    <w:p w14:paraId="59F87552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table below shows the average </w:t>
      </w:r>
      <w:r>
        <w:rPr>
          <w:rFonts w:eastAsia="Times New Roman"/>
          <w:kern w:val="0"/>
          <w:sz w:val="20"/>
          <w:szCs w:val="20"/>
          <w14:ligatures w14:val="none"/>
        </w:rPr>
        <w:t>tenure</w:t>
      </w:r>
      <w:r>
        <w:rPr>
          <w:rFonts w:eastAsia="Times New Roman"/>
          <w:kern w:val="0"/>
          <w14:ligatures w14:val="none"/>
        </w:rPr>
        <w:t xml:space="preserve">, average </w:t>
      </w:r>
      <w:proofErr w:type="spellStart"/>
      <w:r>
        <w:rPr>
          <w:rFonts w:eastAsia="Times New Roman"/>
          <w:kern w:val="0"/>
          <w:sz w:val="20"/>
          <w:szCs w:val="20"/>
          <w14:ligatures w14:val="none"/>
        </w:rPr>
        <w:t>MonthlyCharges</w:t>
      </w:r>
      <w:proofErr w:type="spellEnd"/>
      <w:r>
        <w:rPr>
          <w:rFonts w:eastAsia="Times New Roman"/>
          <w:kern w:val="0"/>
          <w14:ligatures w14:val="none"/>
        </w:rPr>
        <w:t>, and churn rate for each cluster, computed on the original (unscaled) values for readability: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76"/>
        <w:gridCol w:w="1323"/>
        <w:gridCol w:w="2476"/>
        <w:gridCol w:w="2543"/>
        <w:gridCol w:w="1437"/>
      </w:tblGrid>
      <w:tr w:rsidR="00780767" w14:paraId="1DC43BC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9C18D" w14:textId="77777777" w:rsidR="00780767" w:rsidRDefault="00780767">
            <w:pPr>
              <w:spacing w:line="240" w:lineRule="auto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143E" w14:textId="77777777" w:rsidR="00780767" w:rsidRDefault="00780767">
            <w:pPr>
              <w:spacing w:line="240" w:lineRule="auto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Customers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C5614" w14:textId="77777777" w:rsidR="00780767" w:rsidRDefault="00780767">
            <w:pPr>
              <w:spacing w:line="240" w:lineRule="auto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Avg. Tenure (months)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F2903" w14:textId="77777777" w:rsidR="00780767" w:rsidRDefault="00780767">
            <w:pPr>
              <w:spacing w:line="240" w:lineRule="auto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Avg. Monthly Charges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39B8" w14:textId="77777777" w:rsidR="00780767" w:rsidRDefault="00780767">
            <w:pPr>
              <w:spacing w:line="240" w:lineRule="auto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Churn Rate</w:t>
            </w:r>
          </w:p>
        </w:tc>
      </w:tr>
      <w:tr w:rsidR="00780767" w14:paraId="6A2564E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5B52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0418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1,775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0C7A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14.86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4C42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$81.07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52B3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49%</w:t>
            </w:r>
          </w:p>
        </w:tc>
      </w:tr>
      <w:tr w:rsidR="00780767" w14:paraId="3FF4BEB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135C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816B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966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CD45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54.48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C362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$34.80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4F0E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5%</w:t>
            </w:r>
          </w:p>
        </w:tc>
      </w:tr>
      <w:tr w:rsidR="00780767" w14:paraId="7649C5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BC1D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7682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1,512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2821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58.72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137BB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$93.75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CE2F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16%</w:t>
            </w:r>
          </w:p>
        </w:tc>
      </w:tr>
      <w:tr w:rsidR="00780767" w14:paraId="0F5B95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02B5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8F7B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1,381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51E3B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10.51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67EB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$32.09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7BD6" w14:textId="77777777" w:rsidR="00780767" w:rsidRDefault="00780767">
            <w:pPr>
              <w:spacing w:line="240" w:lineRule="auto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25%</w:t>
            </w:r>
          </w:p>
        </w:tc>
      </w:tr>
    </w:tbl>
    <w:p w14:paraId="4793DFD2" w14:textId="77777777" w:rsidR="00780767" w:rsidRDefault="00780767" w:rsidP="00780767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Cluster Labels and Interpretation</w:t>
      </w:r>
    </w:p>
    <w:p w14:paraId="0EFE47A5" w14:textId="77777777" w:rsidR="00780767" w:rsidRDefault="00780767" w:rsidP="00780767">
      <w:pPr>
        <w:pStyle w:val="Heading3"/>
        <w:rPr>
          <w:rFonts w:eastAsia="Times New Roman" w:cs="Times New Roman"/>
        </w:rPr>
      </w:pPr>
      <w:r>
        <w:rPr>
          <w:rFonts w:eastAsia="Times New Roman" w:cs="Times New Roman"/>
        </w:rPr>
        <w:t>Cluster 0 — "At-Risk New Customers"</w:t>
      </w:r>
    </w:p>
    <w:p w14:paraId="4C0F3BF0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Short tenure combined with high monthly charges. This group has by far the </w:t>
      </w:r>
      <w:r>
        <w:rPr>
          <w:rFonts w:eastAsia="Times New Roman"/>
          <w:b/>
          <w:bCs/>
          <w:kern w:val="0"/>
          <w14:ligatures w14:val="none"/>
        </w:rPr>
        <w:t>highest churn rate (49%)</w:t>
      </w:r>
      <w:r>
        <w:rPr>
          <w:rFonts w:eastAsia="Times New Roman"/>
          <w:kern w:val="0"/>
          <w14:ligatures w14:val="none"/>
        </w:rPr>
        <w:t xml:space="preserve"> — nearly 1 in 2 customers in this segment leave. This is the highest-priority group for retention efforts.</w:t>
      </w:r>
    </w:p>
    <w:p w14:paraId="7F7B4C76" w14:textId="77777777" w:rsidR="00780767" w:rsidRDefault="00780767" w:rsidP="00780767">
      <w:pPr>
        <w:pStyle w:val="Heading3"/>
        <w:rPr>
          <w:rFonts w:eastAsia="Times New Roman" w:cs="Times New Roman"/>
        </w:rPr>
      </w:pPr>
      <w:r>
        <w:rPr>
          <w:rFonts w:eastAsia="Times New Roman" w:cs="Times New Roman"/>
        </w:rPr>
        <w:t>Cluster 1 — "Loyal Low-Spend Customers"</w:t>
      </w:r>
    </w:p>
    <w:p w14:paraId="383148BF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Long tenure (over 4.5 years on average) with low monthly charges and the </w:t>
      </w:r>
      <w:r>
        <w:rPr>
          <w:rFonts w:eastAsia="Times New Roman"/>
          <w:b/>
          <w:bCs/>
          <w:kern w:val="0"/>
          <w14:ligatures w14:val="none"/>
        </w:rPr>
        <w:t>lowest churn rate (5%)</w:t>
      </w:r>
      <w:r>
        <w:rPr>
          <w:rFonts w:eastAsia="Times New Roman"/>
          <w:kern w:val="0"/>
          <w14:ligatures w14:val="none"/>
        </w:rPr>
        <w:t>. These customers are on cheaper plans but have stayed the longest — a stable, low-risk segment.</w:t>
      </w:r>
    </w:p>
    <w:p w14:paraId="55C0A738" w14:textId="77777777" w:rsidR="00780767" w:rsidRDefault="00780767" w:rsidP="00780767">
      <w:pPr>
        <w:pStyle w:val="Heading3"/>
        <w:rPr>
          <w:rFonts w:eastAsia="Times New Roman" w:cs="Times New Roman"/>
        </w:rPr>
      </w:pPr>
      <w:r>
        <w:rPr>
          <w:rFonts w:eastAsia="Times New Roman" w:cs="Times New Roman"/>
        </w:rPr>
        <w:t>Cluster 2 — "Long-Term High-Value Customers"</w:t>
      </w:r>
    </w:p>
    <w:p w14:paraId="5ADBF565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The longest average tenure combined with the highest average monthly charges, yet a relatively low churn rate (16%). This is the most valuable segment: customers who pay the most and also stay the longest.</w:t>
      </w:r>
    </w:p>
    <w:p w14:paraId="43620CAB" w14:textId="77777777" w:rsidR="00780767" w:rsidRDefault="00780767" w:rsidP="00780767">
      <w:pPr>
        <w:pStyle w:val="Heading3"/>
        <w:rPr>
          <w:rFonts w:eastAsia="Times New Roman" w:cs="Times New Roman"/>
        </w:rPr>
      </w:pPr>
      <w:r>
        <w:rPr>
          <w:rFonts w:eastAsia="Times New Roman" w:cs="Times New Roman"/>
        </w:rPr>
        <w:t>Cluster 3 — "New Budget Customers"</w:t>
      </w:r>
    </w:p>
    <w:p w14:paraId="238CC1F5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The shortest average tenure and the lowest monthly charges. Churn (25%) is moderate — higher than the loyal segments but far lower than Cluster 0. These customers are new and on cheaper plans, so they haven't yet had the chance to prove long-term loyalty.</w:t>
      </w:r>
    </w:p>
    <w:p w14:paraId="69F99291" w14:textId="77777777" w:rsidR="00780767" w:rsidRDefault="00780767" w:rsidP="00780767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Insight</w:t>
      </w:r>
    </w:p>
    <w:p w14:paraId="2678B838" w14:textId="77777777" w:rsidR="00780767" w:rsidRDefault="00780767" w:rsidP="00780767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clearest driver of churn risk in this data is </w:t>
      </w:r>
      <w:r>
        <w:rPr>
          <w:rFonts w:eastAsia="Times New Roman"/>
          <w:b/>
          <w:bCs/>
          <w:kern w:val="0"/>
          <w14:ligatures w14:val="none"/>
        </w:rPr>
        <w:t>the combination of short tenure and high monthly charges</w:t>
      </w:r>
      <w:r>
        <w:rPr>
          <w:rFonts w:eastAsia="Times New Roman"/>
          <w:kern w:val="0"/>
          <w14:ligatures w14:val="none"/>
        </w:rPr>
        <w:t xml:space="preserve"> (Cluster 0). Customers who are both new </w:t>
      </w:r>
      <w:r>
        <w:rPr>
          <w:rFonts w:eastAsia="Times New Roman"/>
          <w:i/>
          <w:iCs/>
          <w:kern w:val="0"/>
          <w14:ligatures w14:val="none"/>
        </w:rPr>
        <w:t>and</w:t>
      </w:r>
      <w:r>
        <w:rPr>
          <w:rFonts w:eastAsia="Times New Roman"/>
          <w:kern w:val="0"/>
          <w14:ligatures w14:val="none"/>
        </w:rPr>
        <w:t xml:space="preserve"> paying a premium price are far more likely to leave than any other segment, while long-tenured customers — regardless of how much they pay — churn much less. This suggests retention efforts should focus on new customers on higher-cost plans within their first year, potentially through onboarding offers, loyalty discounts, or proactive check-ins during the early months of the relationship.</w:t>
      </w:r>
    </w:p>
    <w:p w14:paraId="003FF345" w14:textId="77777777" w:rsidR="00780767" w:rsidRDefault="00780767" w:rsidP="00780767"/>
    <w:p w14:paraId="5AEEBE53" w14:textId="77777777" w:rsidR="00627F61" w:rsidRDefault="00627F61"/>
    <w:sectPr w:rsidR="00627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75AE"/>
    <w:multiLevelType w:val="multilevel"/>
    <w:tmpl w:val="AAB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2291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67"/>
    <w:rsid w:val="00627F61"/>
    <w:rsid w:val="00780767"/>
    <w:rsid w:val="00AA3563"/>
    <w:rsid w:val="00B6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1EBE"/>
  <w15:chartTrackingRefBased/>
  <w15:docId w15:val="{BC33B4F7-8FA4-413A-A8C8-EBFEA25F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767"/>
    <w:pPr>
      <w:spacing w:line="276" w:lineRule="auto"/>
      <w:jc w:val="both"/>
    </w:pPr>
    <w:rPr>
      <w:rFonts w:ascii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6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07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8076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Bhayani</dc:creator>
  <cp:keywords/>
  <dc:description/>
  <cp:lastModifiedBy>Rutvik Bhayani</cp:lastModifiedBy>
  <cp:revision>1</cp:revision>
  <dcterms:created xsi:type="dcterms:W3CDTF">2026-09-19T12:55:00Z</dcterms:created>
  <dcterms:modified xsi:type="dcterms:W3CDTF">2026-09-19T12:55:00Z</dcterms:modified>
</cp:coreProperties>
</file>