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Shared Mailboxes and Distribution Lists</w:t>
      </w:r>
    </w:p>
    <w:p>
      <w:r>
        <w:t>Category: email_collaboration</w:t>
      </w:r>
    </w:p>
    <w:p>
      <w:r>
        <w:t>[SAMPLE DOCUMENT - synthetic content for the HelpDeskAI project, not an official company policy]</w:t>
      </w:r>
    </w:p>
    <w:p>
      <w:r>
        <w:t>Symptoms and scope</w:t>
      </w:r>
    </w:p>
    <w:p>
      <w:r>
        <w:t>A user can send to a group but cannot open its messages, or a user expects a shared mailbox to distribute mail automatically.</w:t>
      </w:r>
    </w:p>
    <w:p>
      <w:r>
        <w:t>Troubleshooting procedure</w:t>
      </w:r>
    </w:p>
    <w:p>
      <w:r>
        <w:t>1. Identify the resource type before requesting a change. A shared mailbox is a common inbox with delegated access. A distribution list is an address that routes messages to a set of recipients; it does not provide a shared inbox.</w:t>
      </w:r>
    </w:p>
    <w:p>
      <w:r>
        <w:t>2. Open Meridian Access Desk and select the matching request type. For a shared mailbox, state whether read access or send-as permission is needed. For a distribution list, state whether the person should be added to or removed from the recipient membership.</w:t>
      </w:r>
    </w:p>
    <w:p>
      <w:r>
        <w:t>3. Provide the business reason and the resource owner's fictional directory name. The owner approval target is 1 business day after a complete request is received. If the owner is unavailable, the request remains pending rather than being silently approved.</w:t>
      </w:r>
    </w:p>
    <w:p>
      <w:r>
        <w:t>4. After approval, allow up to 20 minutes for membership synchronization, then sign out and back in or refresh the mail client. Test access using the approved resource and report the exact result. Do not ask a colleague to share their password as a workaround.</w:t>
      </w:r>
    </w:p>
    <w:p>
      <w:r>
        <w:t>Ownership and handoff</w:t>
      </w:r>
    </w:p>
    <w:p>
      <w:r>
        <w:t>The resource owner validates business need. Collaboration Services provisions the approved mailbox or list change. The Service Desk checks request completeness and verifies the outcome; it cannot substitute its own approval for the resource owner.</w:t>
      </w:r>
    </w:p>
    <w:p>
      <w:r>
        <w:t>Escalation and priority</w:t>
      </w:r>
    </w:p>
    <w:p>
      <w:r>
        <w:t>Raise low priority for a question about the resource type. Raise medium priority when an approved change has not appeared after 20 minutes. Raise high priority only when the access failure blocks a time-critical team function and the owner has confirmed the request. Unauthorized access concerns go to the security route immediately.</w:t>
      </w:r>
    </w:p>
    <w:p>
      <w:r>
        <w:t>Diagnostic details and records</w:t>
      </w:r>
    </w:p>
    <w:p>
      <w:r>
        <w:t>COL-205 means a user selected a distribution-list request while asking for shared-mailbox access. Include the resource display name, intended action, approval status, and time approval was recorded. Do not include confidential message content.</w:t>
      </w:r>
    </w:p>
    <w:p>
      <w:r>
        <w:t>Questions and answers</w:t>
      </w:r>
    </w:p>
    <w:p>
      <w:r>
        <w:t>Q: Why can I send to the group but not read replies?</w:t>
      </w:r>
    </w:p>
    <w:p>
      <w:r>
        <w:t>A: The address may be a distribution list, which routes mail rather than storing a shared inbox.</w:t>
      </w:r>
    </w:p>
    <w:p>
      <w:r>
        <w:t>Q: Can Service Desk add me without owner approval?</w:t>
      </w:r>
    </w:p>
    <w:p>
      <w:r>
        <w:t>A: No. The request requires the resource owner's approval before provisioning.</w:t>
      </w:r>
    </w:p>
    <w:p>
      <w:r>
        <w:t>Ticket quality checklist</w:t>
      </w:r>
    </w:p>
    <w:p>
      <w:r>
        <w:t>Before submitting, confirm that the report states the observed symptom rather than only a guessed cause. Separate facts from assumptions, include the time and location, and describe the troubleshooting already completed. If a step could expose a person to electrical, battery, water, or moving-equipment hazards, stop and use the safety escalation route instead of continuing. Do not bypass access controls, disable security protections, open sealed equipment, or use another person's account. A support team may ask for additional evidence, but provide it only through the approved company channel and only when it is needed to diagnose the issue.</w:t>
      </w:r>
    </w:p>
    <w:p>
      <w:r>
        <w:t>Expected outcome</w:t>
      </w:r>
    </w:p>
    <w:p>
      <w:r>
        <w:t>A successful first-line check should either restore the affected function or narrow the fault to a specific service, device, destination, or building component. If the result is unchanged, preserve the original error text and report which numbered steps were completed. Do not repeat a failed action indefinitely; use the stated escalation condition and let the owning team continue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