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8F6C3" w14:textId="77777777" w:rsidR="00AB700A" w:rsidRPr="00D244A5" w:rsidRDefault="00AB700A" w:rsidP="00F055D8">
      <w:pPr>
        <w:pBdr>
          <w:top w:val="nil"/>
          <w:left w:val="nil"/>
          <w:bottom w:val="nil"/>
          <w:right w:val="nil"/>
          <w:between w:val="nil"/>
        </w:pBdr>
        <w:spacing w:before="240" w:line="360" w:lineRule="auto"/>
        <w:jc w:val="both"/>
        <w:rPr>
          <w:rFonts w:ascii="Palatino Linotype" w:eastAsia="Palatino Linotype" w:hAnsi="Palatino Linotype" w:cs="Palatino Linotype"/>
          <w:i/>
          <w:color w:val="000000"/>
          <w:sz w:val="20"/>
          <w:szCs w:val="20"/>
        </w:rPr>
      </w:pPr>
      <w:r w:rsidRPr="00D244A5">
        <w:rPr>
          <w:rFonts w:ascii="Palatino Linotype" w:eastAsia="Palatino Linotype" w:hAnsi="Palatino Linotype" w:cs="Palatino Linotype"/>
          <w:i/>
          <w:color w:val="000000"/>
          <w:sz w:val="20"/>
          <w:szCs w:val="20"/>
        </w:rPr>
        <w:t>Type of Paper: Original Article</w:t>
      </w:r>
    </w:p>
    <w:p w14:paraId="1B3F52B6" w14:textId="77777777" w:rsidR="00AB700A" w:rsidRPr="00D244A5" w:rsidRDefault="00AB700A" w:rsidP="00EF2442">
      <w:pPr>
        <w:pBdr>
          <w:top w:val="nil"/>
          <w:left w:val="nil"/>
          <w:bottom w:val="nil"/>
          <w:right w:val="nil"/>
          <w:between w:val="nil"/>
        </w:pBdr>
        <w:spacing w:line="360" w:lineRule="auto"/>
        <w:jc w:val="both"/>
        <w:rPr>
          <w:rFonts w:ascii="Palatino Linotype" w:eastAsia="Palatino Linotype" w:hAnsi="Palatino Linotype" w:cs="Palatino Linotype"/>
          <w:b/>
          <w:sz w:val="34"/>
          <w:szCs w:val="34"/>
        </w:rPr>
      </w:pPr>
      <w:bookmarkStart w:id="0" w:name="p5hlzihoizlj" w:colFirst="0" w:colLast="0"/>
      <w:bookmarkStart w:id="1" w:name="33glac5whh32" w:colFirst="0" w:colLast="0"/>
      <w:bookmarkEnd w:id="0"/>
      <w:bookmarkEnd w:id="1"/>
      <w:r w:rsidRPr="00EF2442">
        <w:rPr>
          <w:rFonts w:ascii="Palatino Linotype" w:eastAsia="Palatino Linotype" w:hAnsi="Palatino Linotype" w:cs="Palatino Linotype"/>
          <w:b/>
          <w:sz w:val="34"/>
          <w:szCs w:val="34"/>
        </w:rPr>
        <w:t>Interpretable Machine Learning for Predicting Surgical Risk in Skull-Base Meningioma</w:t>
      </w:r>
    </w:p>
    <w:p w14:paraId="6754C89C" w14:textId="77777777" w:rsidR="00AB700A" w:rsidRPr="00637D19"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16"/>
          <w:szCs w:val="16"/>
          <w:lang w:val="it-IT"/>
        </w:rPr>
      </w:pPr>
      <w:r w:rsidRPr="00637D19">
        <w:rPr>
          <w:rFonts w:ascii="Palatino Linotype" w:eastAsia="Palatino Linotype" w:hAnsi="Palatino Linotype" w:cs="Palatino Linotype"/>
          <w:color w:val="000000"/>
          <w:sz w:val="16"/>
          <w:szCs w:val="16"/>
          <w:vertAlign w:val="superscript"/>
          <w:lang w:val="it-IT"/>
        </w:rPr>
        <w:t>1,2</w:t>
      </w:r>
      <w:r w:rsidRPr="00637D19">
        <w:rPr>
          <w:rFonts w:ascii="Palatino Linotype" w:eastAsia="Palatino Linotype" w:hAnsi="Palatino Linotype" w:cs="Palatino Linotype"/>
          <w:color w:val="000000"/>
          <w:sz w:val="16"/>
          <w:szCs w:val="16"/>
          <w:lang w:val="it-IT"/>
        </w:rPr>
        <w:t xml:space="preserve">Noa Ben Dor*; </w:t>
      </w:r>
      <w:r w:rsidRPr="00637D19">
        <w:rPr>
          <w:rFonts w:ascii="Palatino Linotype" w:eastAsia="Palatino Linotype" w:hAnsi="Palatino Linotype" w:cs="Palatino Linotype"/>
          <w:color w:val="000000"/>
          <w:sz w:val="16"/>
          <w:szCs w:val="16"/>
          <w:vertAlign w:val="superscript"/>
          <w:lang w:val="it-IT"/>
        </w:rPr>
        <w:t>1,2</w:t>
      </w:r>
      <w:r w:rsidRPr="00637D19">
        <w:rPr>
          <w:rFonts w:ascii="Palatino Linotype" w:eastAsia="Palatino Linotype" w:hAnsi="Palatino Linotype" w:cs="Palatino Linotype"/>
          <w:color w:val="000000"/>
          <w:sz w:val="16"/>
          <w:szCs w:val="16"/>
          <w:lang w:val="it-IT"/>
        </w:rPr>
        <w:t>Alfredo Conti.</w:t>
      </w:r>
    </w:p>
    <w:p w14:paraId="3AA1073A" w14:textId="77777777" w:rsidR="00AB700A" w:rsidRPr="00637D19"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16"/>
          <w:szCs w:val="16"/>
          <w:lang w:val="it-IT"/>
        </w:rPr>
      </w:pPr>
    </w:p>
    <w:p w14:paraId="4E9F0DE4"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16"/>
          <w:szCs w:val="16"/>
        </w:rPr>
      </w:pPr>
      <w:r w:rsidRPr="00D244A5">
        <w:rPr>
          <w:rFonts w:ascii="Palatino Linotype" w:eastAsia="Palatino Linotype" w:hAnsi="Palatino Linotype" w:cs="Palatino Linotype"/>
          <w:color w:val="000000"/>
          <w:sz w:val="16"/>
          <w:szCs w:val="16"/>
          <w:vertAlign w:val="superscript"/>
        </w:rPr>
        <w:t>1</w:t>
      </w:r>
      <w:r w:rsidRPr="00D244A5">
        <w:rPr>
          <w:rFonts w:ascii="Palatino Linotype" w:eastAsia="Palatino Linotype" w:hAnsi="Palatino Linotype" w:cs="Palatino Linotype"/>
          <w:color w:val="000000"/>
          <w:sz w:val="16"/>
          <w:szCs w:val="16"/>
        </w:rPr>
        <w:t xml:space="preserve">Department of Neurosurgery, IRCCS Institute of Neurological Sciences of Bologna, Italy </w:t>
      </w:r>
    </w:p>
    <w:p w14:paraId="46E4CB27"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16"/>
          <w:szCs w:val="16"/>
        </w:rPr>
      </w:pPr>
      <w:r w:rsidRPr="00D244A5">
        <w:rPr>
          <w:rFonts w:ascii="Palatino Linotype" w:eastAsia="Palatino Linotype" w:hAnsi="Palatino Linotype" w:cs="Palatino Linotype"/>
          <w:color w:val="000000"/>
          <w:sz w:val="16"/>
          <w:szCs w:val="16"/>
          <w:vertAlign w:val="superscript"/>
        </w:rPr>
        <w:t>2</w:t>
      </w:r>
      <w:r w:rsidRPr="00D244A5">
        <w:rPr>
          <w:rFonts w:ascii="Palatino Linotype" w:eastAsia="Palatino Linotype" w:hAnsi="Palatino Linotype" w:cs="Palatino Linotype"/>
          <w:color w:val="000000"/>
          <w:sz w:val="16"/>
          <w:szCs w:val="16"/>
        </w:rPr>
        <w:t>Department of Medical and Surgical Sciences, Alma Mater Studiorum University of Bologna, Italy</w:t>
      </w:r>
    </w:p>
    <w:p w14:paraId="52528383"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b/>
          <w:color w:val="000000"/>
          <w:sz w:val="16"/>
          <w:szCs w:val="16"/>
        </w:rPr>
      </w:pPr>
    </w:p>
    <w:p w14:paraId="428C2B75"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b/>
          <w:color w:val="000000"/>
          <w:sz w:val="16"/>
          <w:szCs w:val="16"/>
        </w:rPr>
      </w:pPr>
    </w:p>
    <w:p w14:paraId="166BEC71"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b/>
          <w:color w:val="000000"/>
          <w:sz w:val="16"/>
          <w:szCs w:val="16"/>
        </w:rPr>
      </w:pPr>
      <w:r w:rsidRPr="00D244A5">
        <w:rPr>
          <w:rFonts w:ascii="Palatino Linotype" w:eastAsia="Palatino Linotype" w:hAnsi="Palatino Linotype" w:cs="Palatino Linotype"/>
          <w:b/>
          <w:color w:val="000000"/>
          <w:sz w:val="16"/>
          <w:szCs w:val="16"/>
        </w:rPr>
        <w:t>Corresponding author</w:t>
      </w:r>
    </w:p>
    <w:p w14:paraId="455A62B9" w14:textId="77777777" w:rsidR="00AB700A" w:rsidRPr="00D244A5" w:rsidRDefault="00AB700A" w:rsidP="00F055D8">
      <w:pPr>
        <w:pBdr>
          <w:top w:val="nil"/>
          <w:left w:val="nil"/>
          <w:bottom w:val="nil"/>
          <w:right w:val="nil"/>
          <w:between w:val="nil"/>
        </w:pBdr>
        <w:spacing w:after="120" w:line="360" w:lineRule="auto"/>
        <w:jc w:val="both"/>
        <w:rPr>
          <w:rFonts w:ascii="Palatino Linotype" w:eastAsia="Palatino Linotype" w:hAnsi="Palatino Linotype" w:cs="Palatino Linotype"/>
          <w:color w:val="000000"/>
          <w:sz w:val="16"/>
          <w:szCs w:val="16"/>
        </w:rPr>
      </w:pPr>
      <w:r w:rsidRPr="00D244A5">
        <w:rPr>
          <w:rFonts w:ascii="Palatino Linotype" w:eastAsia="Palatino Linotype" w:hAnsi="Palatino Linotype" w:cs="Palatino Linotype"/>
          <w:color w:val="000000"/>
          <w:sz w:val="16"/>
          <w:szCs w:val="16"/>
        </w:rPr>
        <w:t>Name: Noa Ben Dor</w:t>
      </w:r>
    </w:p>
    <w:p w14:paraId="378A2B79" w14:textId="77777777" w:rsidR="00AB700A" w:rsidRPr="00D244A5" w:rsidRDefault="00AB700A" w:rsidP="00F055D8">
      <w:pPr>
        <w:pBdr>
          <w:top w:val="nil"/>
          <w:left w:val="nil"/>
          <w:bottom w:val="nil"/>
          <w:right w:val="nil"/>
          <w:between w:val="nil"/>
        </w:pBdr>
        <w:spacing w:after="120" w:line="360" w:lineRule="auto"/>
        <w:jc w:val="both"/>
        <w:rPr>
          <w:rFonts w:ascii="Palatino Linotype" w:eastAsia="Palatino Linotype" w:hAnsi="Palatino Linotype" w:cs="Palatino Linotype"/>
          <w:color w:val="000000"/>
          <w:sz w:val="16"/>
          <w:szCs w:val="16"/>
        </w:rPr>
      </w:pPr>
      <w:r w:rsidRPr="00D244A5">
        <w:rPr>
          <w:rFonts w:ascii="Palatino Linotype" w:eastAsia="Palatino Linotype" w:hAnsi="Palatino Linotype" w:cs="Palatino Linotype"/>
          <w:color w:val="000000"/>
          <w:sz w:val="16"/>
          <w:szCs w:val="16"/>
        </w:rPr>
        <w:t xml:space="preserve">Institution: Alma Mater Studiorum University of Bologna, IRCCS Institute of Neurological Sciences, Bologna, Italy. </w:t>
      </w:r>
    </w:p>
    <w:p w14:paraId="4AB299BF" w14:textId="77777777" w:rsidR="00AB700A" w:rsidRPr="00D244A5" w:rsidRDefault="00AB700A" w:rsidP="00F055D8">
      <w:pPr>
        <w:pBdr>
          <w:top w:val="nil"/>
          <w:left w:val="nil"/>
          <w:bottom w:val="nil"/>
          <w:right w:val="nil"/>
          <w:between w:val="nil"/>
        </w:pBdr>
        <w:spacing w:after="120" w:line="360" w:lineRule="auto"/>
        <w:jc w:val="both"/>
        <w:rPr>
          <w:rFonts w:ascii="Palatino Linotype" w:eastAsia="Palatino Linotype" w:hAnsi="Palatino Linotype" w:cs="Palatino Linotype"/>
          <w:color w:val="000000"/>
          <w:sz w:val="16"/>
          <w:szCs w:val="16"/>
        </w:rPr>
      </w:pPr>
      <w:r w:rsidRPr="00D244A5">
        <w:rPr>
          <w:rFonts w:ascii="Palatino Linotype" w:eastAsia="Palatino Linotype" w:hAnsi="Palatino Linotype" w:cs="Palatino Linotype"/>
          <w:color w:val="000000"/>
          <w:sz w:val="16"/>
          <w:szCs w:val="16"/>
        </w:rPr>
        <w:t>Email: noa.bendorziv@studio.unibo.it</w:t>
      </w:r>
    </w:p>
    <w:p w14:paraId="40C11798"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16"/>
          <w:szCs w:val="16"/>
        </w:rPr>
      </w:pPr>
    </w:p>
    <w:p w14:paraId="4AB2E893" w14:textId="77777777" w:rsidR="00AB700A" w:rsidRPr="00D244A5" w:rsidRDefault="00AB700A" w:rsidP="00F055D8">
      <w:pPr>
        <w:pBdr>
          <w:top w:val="nil"/>
          <w:left w:val="nil"/>
          <w:bottom w:val="nil"/>
          <w:right w:val="nil"/>
          <w:between w:val="nil"/>
        </w:pBdr>
        <w:spacing w:line="360" w:lineRule="auto"/>
        <w:jc w:val="both"/>
      </w:pPr>
      <w:r w:rsidRPr="00D244A5">
        <w:rPr>
          <w:b/>
          <w:sz w:val="18"/>
          <w:szCs w:val="18"/>
        </w:rPr>
        <w:t>Keywords: skull-base meningioma; machine learning; surgical risk prediction; postoperative complications; length of stay; interpretable AI; histogram-based gradient boosting</w:t>
      </w:r>
    </w:p>
    <w:p w14:paraId="4C913EBF" w14:textId="77777777" w:rsidR="00AB700A" w:rsidRPr="00D244A5" w:rsidRDefault="00AB700A" w:rsidP="00F055D8">
      <w:pPr>
        <w:spacing w:before="280" w:after="280" w:line="360" w:lineRule="auto"/>
        <w:jc w:val="both"/>
        <w:rPr>
          <w:rFonts w:ascii="Palatino Linotype" w:eastAsia="Palatino Linotype" w:hAnsi="Palatino Linotype" w:cs="Palatino Linotype"/>
          <w:b/>
          <w:sz w:val="36"/>
          <w:szCs w:val="36"/>
        </w:rPr>
      </w:pPr>
      <w:r w:rsidRPr="00D244A5">
        <w:rPr>
          <w:rFonts w:ascii="Palatino Linotype" w:eastAsia="Palatino Linotype" w:hAnsi="Palatino Linotype" w:cs="Palatino Linotype"/>
          <w:b/>
        </w:rPr>
        <w:t>Abstract</w:t>
      </w:r>
    </w:p>
    <w:p w14:paraId="7B20FC13" w14:textId="77777777" w:rsidR="00AB700A" w:rsidRPr="00D244A5" w:rsidRDefault="00AB700A" w:rsidP="00904DA0">
      <w:pPr>
        <w:spacing w:before="240"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b/>
          <w:color w:val="000000"/>
          <w:sz w:val="20"/>
          <w:szCs w:val="20"/>
        </w:rPr>
        <w:t>Background</w:t>
      </w:r>
      <w:r w:rsidRPr="00D244A5">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w:t>
      </w:r>
      <w:r w:rsidRPr="00904DA0">
        <w:rPr>
          <w:rFonts w:ascii="Palatino Linotype" w:eastAsia="Palatino Linotype" w:hAnsi="Palatino Linotype" w:cs="Palatino Linotype"/>
          <w:color w:val="000000"/>
          <w:sz w:val="20"/>
          <w:szCs w:val="20"/>
        </w:rPr>
        <w:t>Skull-base meningiomas (SBMs) are associated with greater postoperative morbidity than non-skull-base lesions. Traditional statistical models may fail to capture the nonlinear relationships among surgical and clinical predictors that influence the outcomes</w:t>
      </w:r>
      <w:r w:rsidRPr="00D244A5">
        <w:rPr>
          <w:rFonts w:ascii="Palatino Linotype" w:eastAsia="Palatino Linotype" w:hAnsi="Palatino Linotype" w:cs="Palatino Linotype"/>
          <w:color w:val="000000"/>
          <w:sz w:val="20"/>
          <w:szCs w:val="20"/>
        </w:rPr>
        <w:t xml:space="preserve">. </w:t>
      </w:r>
    </w:p>
    <w:p w14:paraId="3B736B2D" w14:textId="77777777" w:rsidR="00AB700A" w:rsidRPr="00D244A5" w:rsidRDefault="00AB700A" w:rsidP="00D71045">
      <w:pPr>
        <w:spacing w:before="240"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b/>
          <w:color w:val="000000"/>
          <w:sz w:val="20"/>
          <w:szCs w:val="20"/>
        </w:rPr>
        <w:t>Objective</w:t>
      </w:r>
      <w:r w:rsidRPr="00D244A5">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w:t>
      </w:r>
      <w:r w:rsidRPr="00D71045">
        <w:rPr>
          <w:rFonts w:ascii="Palatino Linotype" w:eastAsia="Palatino Linotype" w:hAnsi="Palatino Linotype" w:cs="Palatino Linotype"/>
          <w:color w:val="000000"/>
          <w:sz w:val="20"/>
          <w:szCs w:val="20"/>
        </w:rPr>
        <w:t>To develop interpretable machine-learning models for predicting postoperative outcomes in patients undergoing SBM resection</w:t>
      </w:r>
      <w:r w:rsidRPr="00D244A5">
        <w:rPr>
          <w:rFonts w:ascii="Palatino Linotype" w:eastAsia="Palatino Linotype" w:hAnsi="Palatino Linotype" w:cs="Palatino Linotype"/>
          <w:color w:val="000000"/>
          <w:sz w:val="20"/>
          <w:szCs w:val="20"/>
        </w:rPr>
        <w:t xml:space="preserve">. </w:t>
      </w:r>
    </w:p>
    <w:p w14:paraId="3A00F3AA" w14:textId="4F6CDDEB" w:rsidR="00424C4C" w:rsidRPr="00424C4C" w:rsidRDefault="00AB700A" w:rsidP="00424C4C">
      <w:pPr>
        <w:spacing w:before="240" w:line="360" w:lineRule="auto"/>
        <w:jc w:val="both"/>
        <w:rPr>
          <w:rFonts w:ascii="Palatino Linotype" w:eastAsia="Palatino Linotype" w:hAnsi="Palatino Linotype" w:cs="Palatino Linotype"/>
          <w:bCs/>
          <w:color w:val="000000"/>
          <w:sz w:val="20"/>
          <w:szCs w:val="20"/>
          <w:lang w:bidi="en-US"/>
        </w:rPr>
      </w:pPr>
      <w:r w:rsidRPr="00D244A5">
        <w:rPr>
          <w:rFonts w:ascii="Palatino Linotype" w:eastAsia="Palatino Linotype" w:hAnsi="Palatino Linotype" w:cs="Palatino Linotype"/>
          <w:b/>
          <w:color w:val="000000"/>
          <w:sz w:val="20"/>
          <w:szCs w:val="20"/>
        </w:rPr>
        <w:t>Methods</w:t>
      </w:r>
      <w:r w:rsidRPr="00D244A5">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w:t>
      </w:r>
      <w:r w:rsidRPr="00A86651">
        <w:rPr>
          <w:rFonts w:ascii="Palatino Linotype" w:eastAsia="Palatino Linotype" w:hAnsi="Palatino Linotype" w:cs="Palatino Linotype"/>
          <w:color w:val="000000"/>
          <w:sz w:val="20"/>
          <w:szCs w:val="20"/>
        </w:rPr>
        <w:t xml:space="preserve">Clinical, radiological, and surgical data of 300 patients who underwent SBM resection (2010–2024) were retrospectively analyzed. </w:t>
      </w:r>
      <w:r w:rsidR="006368E9">
        <w:rPr>
          <w:rFonts w:ascii="Palatino Linotype" w:eastAsia="Palatino Linotype" w:hAnsi="Palatino Linotype" w:cs="Palatino Linotype"/>
          <w:color w:val="000000"/>
          <w:sz w:val="20"/>
          <w:szCs w:val="20"/>
        </w:rPr>
        <w:t>h</w:t>
      </w:r>
      <w:r w:rsidR="006368E9" w:rsidRPr="006368E9">
        <w:rPr>
          <w:rFonts w:ascii="Palatino Linotype" w:eastAsia="Palatino Linotype" w:hAnsi="Palatino Linotype" w:cs="Palatino Linotype"/>
          <w:color w:val="000000"/>
          <w:sz w:val="20"/>
          <w:szCs w:val="20"/>
        </w:rPr>
        <w:t>istogram-base</w:t>
      </w:r>
      <w:r w:rsidR="006368E9">
        <w:rPr>
          <w:rFonts w:ascii="Palatino Linotype" w:eastAsia="Palatino Linotype" w:hAnsi="Palatino Linotype" w:cs="Palatino Linotype"/>
          <w:color w:val="000000"/>
          <w:sz w:val="20"/>
          <w:szCs w:val="20"/>
        </w:rPr>
        <w:t>d gradient</w:t>
      </w:r>
      <w:r w:rsidR="006368E9" w:rsidRPr="006368E9">
        <w:rPr>
          <w:rFonts w:ascii="Palatino Linotype" w:eastAsia="Palatino Linotype" w:hAnsi="Palatino Linotype" w:cs="Palatino Linotype"/>
          <w:color w:val="000000"/>
          <w:sz w:val="20"/>
          <w:szCs w:val="20"/>
        </w:rPr>
        <w:t xml:space="preserve"> boosting models </w:t>
      </w:r>
      <w:r w:rsidR="00764152">
        <w:rPr>
          <w:rFonts w:ascii="Palatino Linotype" w:eastAsia="Palatino Linotype" w:hAnsi="Palatino Linotype" w:cs="Palatino Linotype"/>
          <w:color w:val="000000"/>
          <w:sz w:val="20"/>
          <w:szCs w:val="20"/>
        </w:rPr>
        <w:t>(cl</w:t>
      </w:r>
      <w:r w:rsidR="006368E9" w:rsidRPr="006368E9">
        <w:rPr>
          <w:rFonts w:ascii="Palatino Linotype" w:eastAsia="Palatino Linotype" w:hAnsi="Palatino Linotype" w:cs="Palatino Linotype"/>
          <w:color w:val="000000"/>
          <w:sz w:val="20"/>
          <w:szCs w:val="20"/>
        </w:rPr>
        <w:t>assification and regre</w:t>
      </w:r>
      <w:r w:rsidRPr="00A86651">
        <w:rPr>
          <w:rFonts w:ascii="Palatino Linotype" w:eastAsia="Palatino Linotype" w:hAnsi="Palatino Linotype" w:cs="Palatino Linotype"/>
          <w:color w:val="000000"/>
          <w:sz w:val="20"/>
          <w:szCs w:val="20"/>
        </w:rPr>
        <w:t>ssion) were trained to predict (1) new neurological deficit</w:t>
      </w:r>
      <w:r>
        <w:rPr>
          <w:rFonts w:ascii="Palatino Linotype" w:eastAsia="Palatino Linotype" w:hAnsi="Palatino Linotype" w:cs="Palatino Linotype"/>
          <w:color w:val="000000"/>
          <w:sz w:val="20"/>
          <w:szCs w:val="20"/>
        </w:rPr>
        <w:t>s, (2) decre</w:t>
      </w:r>
      <w:r w:rsidRPr="00D152EE">
        <w:rPr>
          <w:rFonts w:ascii="Palatino Linotype" w:eastAsia="Palatino Linotype" w:hAnsi="Palatino Linotype" w:cs="Palatino Linotype"/>
          <w:color w:val="000000"/>
          <w:sz w:val="20"/>
          <w:szCs w:val="20"/>
        </w:rPr>
        <w:t>ase in Karnofsky Performance Statu</w:t>
      </w:r>
      <w:r>
        <w:rPr>
          <w:rFonts w:ascii="Palatino Linotype" w:eastAsia="Palatino Linotype" w:hAnsi="Palatino Linotype" w:cs="Palatino Linotype"/>
          <w:color w:val="000000"/>
          <w:sz w:val="20"/>
          <w:szCs w:val="20"/>
        </w:rPr>
        <w:t>s (KPS) at di</w:t>
      </w:r>
      <w:r w:rsidRPr="00A86651">
        <w:rPr>
          <w:rFonts w:ascii="Palatino Linotype" w:eastAsia="Palatino Linotype" w:hAnsi="Palatino Linotype" w:cs="Palatino Linotype"/>
          <w:color w:val="000000"/>
          <w:sz w:val="20"/>
          <w:szCs w:val="20"/>
        </w:rPr>
        <w:t xml:space="preserve">scharge, (3) prolonged hospital stay </w:t>
      </w:r>
      <w:r>
        <w:rPr>
          <w:rFonts w:ascii="Palatino Linotype" w:eastAsia="Palatino Linotype" w:hAnsi="Palatino Linotype" w:cs="Palatino Linotype"/>
          <w:color w:val="000000"/>
          <w:sz w:val="20"/>
          <w:szCs w:val="20"/>
        </w:rPr>
        <w:t>(</w:t>
      </w:r>
      <w:r w:rsidRPr="00A86651">
        <w:rPr>
          <w:rFonts w:ascii="Palatino Linotype" w:eastAsia="Palatino Linotype" w:hAnsi="Palatino Linotype" w:cs="Palatino Linotype"/>
          <w:color w:val="000000"/>
          <w:sz w:val="20"/>
          <w:szCs w:val="20"/>
        </w:rPr>
        <w:t xml:space="preserve">LOS &gt; </w:t>
      </w:r>
      <w:r>
        <w:rPr>
          <w:rFonts w:ascii="Palatino Linotype" w:eastAsia="Palatino Linotype" w:hAnsi="Palatino Linotype" w:cs="Palatino Linotype"/>
          <w:color w:val="000000"/>
          <w:sz w:val="20"/>
          <w:szCs w:val="20"/>
        </w:rPr>
        <w:t xml:space="preserve">4 days), and (4) complications 30 days after </w:t>
      </w:r>
      <w:r w:rsidRPr="00A86651">
        <w:rPr>
          <w:rFonts w:ascii="Palatino Linotype" w:eastAsia="Palatino Linotype" w:hAnsi="Palatino Linotype" w:cs="Palatino Linotype"/>
          <w:color w:val="000000"/>
          <w:sz w:val="20"/>
          <w:szCs w:val="20"/>
        </w:rPr>
        <w:t>su</w:t>
      </w:r>
      <w:r w:rsidR="00424C4C" w:rsidRPr="00424C4C">
        <w:rPr>
          <w:rFonts w:ascii="Palatino Linotype" w:eastAsia="Palatino Linotype" w:hAnsi="Palatino Linotype" w:cs="Palatino Linotype"/>
          <w:bCs/>
          <w:color w:val="000000"/>
          <w:sz w:val="20"/>
          <w:szCs w:val="20"/>
          <w:lang w:bidi="en-US"/>
        </w:rPr>
        <w:t>rgery. Two ML models were developed: one focusing solely on preoperative f</w:t>
      </w:r>
      <w:r w:rsidR="00424C4C">
        <w:rPr>
          <w:rFonts w:ascii="Palatino Linotype" w:eastAsia="Palatino Linotype" w:hAnsi="Palatino Linotype" w:cs="Palatino Linotype"/>
          <w:bCs/>
          <w:color w:val="000000"/>
          <w:sz w:val="20"/>
          <w:szCs w:val="20"/>
          <w:lang w:bidi="en-US"/>
        </w:rPr>
        <w:t>e</w:t>
      </w:r>
      <w:r w:rsidR="00424C4C" w:rsidRPr="00A86651">
        <w:rPr>
          <w:rFonts w:ascii="Palatino Linotype" w:eastAsia="Palatino Linotype" w:hAnsi="Palatino Linotype" w:cs="Palatino Linotype"/>
          <w:color w:val="000000"/>
          <w:sz w:val="20"/>
          <w:szCs w:val="20"/>
        </w:rPr>
        <w:t xml:space="preserve">atures </w:t>
      </w:r>
      <w:r w:rsidR="0024067C">
        <w:rPr>
          <w:rFonts w:ascii="Palatino Linotype" w:eastAsia="Palatino Linotype" w:hAnsi="Palatino Linotype" w:cs="Palatino Linotype"/>
          <w:color w:val="000000"/>
          <w:sz w:val="20"/>
          <w:szCs w:val="20"/>
        </w:rPr>
        <w:t>(Tier A) a</w:t>
      </w:r>
      <w:r w:rsidR="0024067C" w:rsidRPr="00424C4C">
        <w:rPr>
          <w:rFonts w:ascii="Palatino Linotype" w:eastAsia="Palatino Linotype" w:hAnsi="Palatino Linotype" w:cs="Palatino Linotype"/>
          <w:bCs/>
          <w:color w:val="000000"/>
          <w:sz w:val="20"/>
          <w:szCs w:val="20"/>
          <w:lang w:bidi="en-US"/>
        </w:rPr>
        <w:t>nd th</w:t>
      </w:r>
      <w:r w:rsidR="0024067C" w:rsidRPr="007D1E38">
        <w:rPr>
          <w:rFonts w:ascii="Palatino Linotype" w:eastAsia="Palatino Linotype" w:hAnsi="Palatino Linotype" w:cs="Palatino Linotype"/>
          <w:color w:val="000000"/>
          <w:sz w:val="20"/>
          <w:szCs w:val="20"/>
        </w:rPr>
        <w:t>e</w:t>
      </w:r>
      <w:r w:rsidR="0024067C" w:rsidRPr="00424C4C">
        <w:rPr>
          <w:rFonts w:ascii="Palatino Linotype" w:eastAsia="Palatino Linotype" w:hAnsi="Palatino Linotype" w:cs="Palatino Linotype"/>
          <w:bCs/>
          <w:color w:val="000000"/>
          <w:sz w:val="20"/>
          <w:szCs w:val="20"/>
          <w:lang w:bidi="en-US"/>
        </w:rPr>
        <w:t xml:space="preserve"> other incorporating the full dataset of var</w:t>
      </w:r>
      <w:r w:rsidR="0024067C" w:rsidRPr="00A86651">
        <w:rPr>
          <w:rFonts w:ascii="Palatino Linotype" w:eastAsia="Palatino Linotype" w:hAnsi="Palatino Linotype" w:cs="Palatino Linotype"/>
          <w:color w:val="000000"/>
          <w:sz w:val="20"/>
          <w:szCs w:val="20"/>
        </w:rPr>
        <w:t xml:space="preserve">iables </w:t>
      </w:r>
      <w:r w:rsidR="0024067C" w:rsidRPr="00424C4C">
        <w:rPr>
          <w:rFonts w:ascii="Palatino Linotype" w:eastAsia="Palatino Linotype" w:hAnsi="Palatino Linotype" w:cs="Palatino Linotype"/>
          <w:bCs/>
          <w:color w:val="000000"/>
          <w:sz w:val="20"/>
          <w:szCs w:val="20"/>
          <w:lang w:bidi="en-US"/>
        </w:rPr>
        <w:t>(</w:t>
      </w:r>
      <w:r w:rsidR="0024067C">
        <w:rPr>
          <w:rFonts w:ascii="Palatino Linotype" w:eastAsia="Palatino Linotype" w:hAnsi="Palatino Linotype" w:cs="Palatino Linotype"/>
          <w:bCs/>
          <w:color w:val="000000"/>
          <w:sz w:val="20"/>
          <w:szCs w:val="20"/>
          <w:lang w:bidi="en-US"/>
        </w:rPr>
        <w:t>Ti</w:t>
      </w:r>
      <w:r w:rsidR="007D1E38" w:rsidRPr="00A86651">
        <w:rPr>
          <w:rFonts w:ascii="Palatino Linotype" w:eastAsia="Palatino Linotype" w:hAnsi="Palatino Linotype" w:cs="Palatino Linotype"/>
          <w:color w:val="000000"/>
          <w:sz w:val="20"/>
          <w:szCs w:val="20"/>
        </w:rPr>
        <w:t>er B). Model discrimination was evaluated using the AUROC.</w:t>
      </w:r>
    </w:p>
    <w:p w14:paraId="0F805F38" w14:textId="77777777" w:rsidR="00AB700A" w:rsidRPr="00D244A5" w:rsidRDefault="00AB700A" w:rsidP="008108AA">
      <w:pPr>
        <w:spacing w:before="240"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b/>
          <w:color w:val="000000"/>
          <w:sz w:val="20"/>
          <w:szCs w:val="20"/>
        </w:rPr>
        <w:lastRenderedPageBreak/>
        <w:t>Results</w:t>
      </w:r>
      <w:r w:rsidRPr="00D244A5">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w:t>
      </w:r>
      <w:r w:rsidRPr="008108AA">
        <w:rPr>
          <w:rFonts w:ascii="Palatino Linotype" w:eastAsia="Palatino Linotype" w:hAnsi="Palatino Linotype" w:cs="Palatino Linotype"/>
          <w:color w:val="000000"/>
          <w:sz w:val="20"/>
          <w:szCs w:val="20"/>
        </w:rPr>
        <w:t xml:space="preserve">Across endpoints, the strongest predictors </w:t>
      </w:r>
      <w:r>
        <w:rPr>
          <w:rFonts w:ascii="Palatino Linotype" w:eastAsia="Palatino Linotype" w:hAnsi="Palatino Linotype" w:cs="Palatino Linotype"/>
          <w:color w:val="000000"/>
          <w:sz w:val="20"/>
          <w:szCs w:val="20"/>
        </w:rPr>
        <w:t xml:space="preserve">of unfavorable clinical outcomes were older age, obesity, greater </w:t>
      </w:r>
      <w:r w:rsidRPr="008108AA">
        <w:rPr>
          <w:rFonts w:ascii="Palatino Linotype" w:eastAsia="Palatino Linotype" w:hAnsi="Palatino Linotype" w:cs="Palatino Linotype"/>
          <w:color w:val="000000"/>
          <w:sz w:val="20"/>
          <w:szCs w:val="20"/>
        </w:rPr>
        <w:t xml:space="preserve">tumor diameter, </w:t>
      </w:r>
      <w:r>
        <w:rPr>
          <w:rFonts w:ascii="Palatino Linotype" w:eastAsia="Palatino Linotype" w:hAnsi="Palatino Linotype" w:cs="Palatino Linotype"/>
          <w:color w:val="000000"/>
          <w:sz w:val="20"/>
          <w:szCs w:val="20"/>
        </w:rPr>
        <w:t xml:space="preserve">presence of </w:t>
      </w:r>
      <w:r w:rsidRPr="008108AA">
        <w:rPr>
          <w:rFonts w:ascii="Palatino Linotype" w:eastAsia="Palatino Linotype" w:hAnsi="Palatino Linotype" w:cs="Palatino Linotype"/>
          <w:color w:val="000000"/>
          <w:sz w:val="20"/>
          <w:szCs w:val="20"/>
        </w:rPr>
        <w:t>vessel encasement</w:t>
      </w:r>
      <w:r>
        <w:rPr>
          <w:rFonts w:ascii="Palatino Linotype" w:eastAsia="Palatino Linotype" w:hAnsi="Palatino Linotype" w:cs="Palatino Linotype"/>
          <w:color w:val="000000"/>
          <w:sz w:val="20"/>
          <w:szCs w:val="20"/>
        </w:rPr>
        <w:t>/narrowing, cysts,</w:t>
      </w:r>
      <w:r w:rsidRPr="008108AA">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000000"/>
          <w:sz w:val="20"/>
          <w:szCs w:val="20"/>
        </w:rPr>
        <w:t>peritumoral edema, and</w:t>
      </w:r>
      <w:r w:rsidRPr="008108AA">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000000"/>
          <w:sz w:val="20"/>
          <w:szCs w:val="20"/>
        </w:rPr>
        <w:t>bone invasion</w:t>
      </w:r>
      <w:r w:rsidRPr="008108AA">
        <w:rPr>
          <w:rFonts w:ascii="Palatino Linotype" w:eastAsia="Palatino Linotype" w:hAnsi="Palatino Linotype" w:cs="Palatino Linotype"/>
          <w:color w:val="000000"/>
          <w:sz w:val="20"/>
          <w:szCs w:val="20"/>
        </w:rPr>
        <w:t>. Tier B models improved the prediction of new neurological deficits (AUC 0.75 vs. 0.67). Tier A models best predicted prolonged LOS (AUC 0.</w:t>
      </w:r>
      <w:r>
        <w:rPr>
          <w:rFonts w:ascii="Palatino Linotype" w:eastAsia="Palatino Linotype" w:hAnsi="Palatino Linotype" w:cs="Palatino Linotype"/>
          <w:color w:val="000000"/>
          <w:sz w:val="20"/>
          <w:szCs w:val="20"/>
        </w:rPr>
        <w:t>93</w:t>
      </w:r>
      <w:r w:rsidRPr="008108AA">
        <w:rPr>
          <w:rFonts w:ascii="Palatino Linotype" w:eastAsia="Palatino Linotype" w:hAnsi="Palatino Linotype" w:cs="Palatino Linotype"/>
          <w:color w:val="000000"/>
          <w:sz w:val="20"/>
          <w:szCs w:val="20"/>
        </w:rPr>
        <w:t>) and KPS decrease (AUC 0.72)</w:t>
      </w:r>
      <w:r w:rsidRPr="00D244A5">
        <w:rPr>
          <w:rFonts w:ascii="Palatino Linotype" w:eastAsia="Palatino Linotype" w:hAnsi="Palatino Linotype" w:cs="Palatino Linotype"/>
          <w:color w:val="000000"/>
          <w:sz w:val="20"/>
          <w:szCs w:val="20"/>
        </w:rPr>
        <w:t xml:space="preserve">. </w:t>
      </w:r>
    </w:p>
    <w:p w14:paraId="4AD1AD8D" w14:textId="77777777" w:rsidR="00AB700A" w:rsidRPr="00D244A5" w:rsidRDefault="00AB700A" w:rsidP="00F055D8">
      <w:pPr>
        <w:spacing w:line="360" w:lineRule="auto"/>
        <w:jc w:val="both"/>
      </w:pPr>
    </w:p>
    <w:p w14:paraId="68FBDBA1" w14:textId="77777777" w:rsidR="00AB700A" w:rsidRPr="00D244A5" w:rsidRDefault="00AB700A" w:rsidP="00DA6E92">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b/>
          <w:color w:val="000000"/>
          <w:sz w:val="20"/>
          <w:szCs w:val="20"/>
        </w:rPr>
        <w:t>Conclusion</w:t>
      </w:r>
      <w:r w:rsidRPr="00D244A5">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w:t>
      </w:r>
      <w:r w:rsidRPr="00DA6E92">
        <w:rPr>
          <w:rFonts w:ascii="Palatino Linotype" w:eastAsia="Palatino Linotype" w:hAnsi="Palatino Linotype" w:cs="Palatino Linotype"/>
          <w:color w:val="000000"/>
          <w:sz w:val="20"/>
          <w:szCs w:val="20"/>
        </w:rPr>
        <w:t>Interpretable ML models can identify high-risk patients with SBM preoperatively and support individualized counseling and surgical planning. Recognizing modifiable risk factors may also improve postoperative outcomes</w:t>
      </w:r>
      <w:r w:rsidRPr="00341477">
        <w:rPr>
          <w:rFonts w:ascii="Palatino Linotype" w:eastAsia="Palatino Linotype" w:hAnsi="Palatino Linotype" w:cs="Palatino Linotype"/>
          <w:color w:val="000000"/>
          <w:sz w:val="20"/>
          <w:szCs w:val="20"/>
        </w:rPr>
        <w:t>.</w:t>
      </w:r>
    </w:p>
    <w:p w14:paraId="21258E6D" w14:textId="77777777" w:rsidR="00AB700A" w:rsidRPr="00D244A5" w:rsidRDefault="00AB700A" w:rsidP="00F055D8">
      <w:pPr>
        <w:spacing w:line="360" w:lineRule="auto"/>
        <w:jc w:val="both"/>
        <w:rPr>
          <w:rFonts w:ascii="Palatino Linotype" w:eastAsia="Palatino Linotype" w:hAnsi="Palatino Linotype" w:cs="Palatino Linotype"/>
          <w:color w:val="000000"/>
          <w:sz w:val="20"/>
          <w:szCs w:val="20"/>
        </w:rPr>
      </w:pPr>
      <w:r w:rsidRPr="00D244A5">
        <w:br w:type="page"/>
      </w:r>
    </w:p>
    <w:p w14:paraId="38D5A465" w14:textId="77777777" w:rsidR="00AB700A" w:rsidRPr="00D244A5" w:rsidRDefault="00AB700A" w:rsidP="00F055D8">
      <w:pPr>
        <w:pBdr>
          <w:top w:val="nil"/>
          <w:left w:val="nil"/>
          <w:bottom w:val="nil"/>
          <w:right w:val="nil"/>
          <w:between w:val="nil"/>
        </w:pBdr>
        <w:spacing w:before="240" w:after="60" w:line="360" w:lineRule="auto"/>
        <w:jc w:val="both"/>
        <w:rPr>
          <w:rFonts w:ascii="Palatino Linotype" w:eastAsia="Palatino Linotype" w:hAnsi="Palatino Linotype" w:cs="Palatino Linotype"/>
          <w:b/>
          <w:color w:val="000000"/>
        </w:rPr>
      </w:pPr>
      <w:r w:rsidRPr="00D244A5">
        <w:rPr>
          <w:rFonts w:ascii="Palatino Linotype" w:eastAsia="Palatino Linotype" w:hAnsi="Palatino Linotype" w:cs="Palatino Linotype"/>
          <w:b/>
          <w:color w:val="000000"/>
        </w:rPr>
        <w:lastRenderedPageBreak/>
        <w:t>Introduction</w:t>
      </w:r>
    </w:p>
    <w:p w14:paraId="77108464" w14:textId="7A5FF230" w:rsidR="00AB700A"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bookmarkStart w:id="2" w:name="_Hlk220916383"/>
      <w:r w:rsidRPr="00D244A5">
        <w:rPr>
          <w:rFonts w:ascii="Palatino Linotype" w:eastAsia="Palatino Linotype" w:hAnsi="Palatino Linotype" w:cs="Palatino Linotype"/>
          <w:color w:val="000000"/>
          <w:sz w:val="20"/>
          <w:szCs w:val="20"/>
        </w:rPr>
        <w:t>Meningiomas, the most common form of primary intracranial tumor, are classified into two subtypes based on their anatomical location: skull-base meningiomas (SBMs) and non-skull-base meningiomas (NSBMs)</w:t>
      </w:r>
      <w:r>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{"citationID":"3BefCPd8","properties":{"formattedCitation":"\\super 1,2\\nosupersub{}","plainCitation":"1,2","noteIndex":0},"citationItems":[{"id":2958,"uris":["http://zotero.org/users/15552969/items/N9TW968L"],"itemData":{"id":2958,"type":"article-journal","abstract":"Abstract\n            The Central Brain Tumor Registry of the United States (CBTRUS), in collaboration with the Centers for Disease Control and Prevention (CDC) and National Cancer Institute (NCI), is the largest population-based cancer registry focused exclusively on primary brain and other central nervous system (CNS) tumors in the United States (US) and represents the entire US population. This report contains the most up-to-date population-based data on primary brain tumors available and supersedes all previous reports in terms of completeness and accuracy and is the first CBTRUS Report to provide the distribution of molecular markers for selected brain and CNS tumor histologies. All rates are age-adjusted using the 2000 US standard population and presented per 100,000 population. The average annual age-adjusted incidence rate (AAAIR) of all malignant and non-malignant brain and other CNS tumors was 24.25 (Malignant AAAIR=7.06, Non-malignant AAAIR=17.18). This overall rate was higher in females compared to males (26.95 versus 21.35) and non-Hispanics compared to Hispanics (24.68 versus 22.12). The most commonly occurring malignant brain and other CNS tumor was glioblastoma (14.3% of all tumors and 49.1% of malignant tumors), and the most common non-malignant tumor was meningioma (39.0% of all tumors and 54.5% of non-malignant tumors). Glioblastoma was more common in males, and meningioma was more common in females. In children and adolescents (age 0–19 years), the incidence rate of all primary brain and other CNS tumors was 6.21. An estimated 88,190 new cases of malignant and non-malignant brain and other CNS tumors are expected to be diagnosed in the US population in 2021 (25,690 malignant and 62,500 non-malignant). There were 83,029 deaths attributed to malignant brain and other CNS tumors between 2014 and 2018. This represents an average annual mortality rate of 4.43 per 100,000 and an average of 16,606 deaths per year. The five-year relative survival rate following diagnosis of a malignant brain and other CNS tumor was 35.6%, for a non-malignant brain and other CNS tumors the five-year relative survival rate was 91.8%.","citation-key":"ostromCBTRUSStatisticalReport2021","container-title":"Neuro-Oncology","DOI":"10.1093/neuonc/noab200","ISSN":"1522-8517, 1523-5866","issue":"Supplement_3","language":"en","license":"https://academic.oup.com/journals/pages/open_access/funder_policies/chorus/standard_publication_model","page":"iii1-iii105","source":"DOI.org (Crossref)","title":"CBTRUS Statistical Report: Primary Brain and Other Central Nervous System Tumors Diagnosed in the United States in 2014–2018","title-short":"CBTRUS Statistical Report","volume":"23","author":[{"family":"Ostrom","given":"Quinn T"},{"family":"Cioffi","given":"Gino"},{"family":"Waite","given":"Kristin"},{"family":"Kruchko","given":"Carol"},{"family":"Barnholtz-Sloan","given":"Jill S"}],"issued":{"date-parts":[["2021",10,5]]}}},{"id":4832,"uris":["http://zotero.org/users/15552969/items/BFRHH44N"],"itemData":{"id":4832,"type":"article-journal","abstract":"PURPOSE\n\nThe aim of this study was to examine the clinical outcomes of treating atypical meningioma at the skull base region following surgical\nresection and adjuvant radiotherapy, and to analyze the association between clinical characteristics and progression free survival.\n\nMATERIALS AND METHODS\n\nTwenty-eight patients with skull base atypical meningiomas underwent microsurgical resection between June 2001 and November 2009. The\nclinical characteristics of the patients and meningiomas, the extent of surgical resection, and complications after treatment were\nretrospectively analyzed.\n\nRESULTS\n\nThirteen patients (46.4%) had disease recurrence or progression during follow up time. The median time to disease progression was 64 months. The extent of the surgical resection significantly impacted prognosis. Gross total resection (GTR) of the tumor improved progression free survival (PFS) compared to subtotal resection (STR, p = 0.011). An older patient age at diagnosis also resulted in a worse outcome (p = 0.024). An MIB-1 index &lt;8% also contributed to improved PFS (p =\n0.031). None of the patients that underwent GTR and received adjuvant radiotherapy had tumors recur during follow up. STR with adjuvant radiotherapy tended to result in better local tumor control than STR alone (p = 0.074). Three of 28 patients (10.7%) developed\ncomplications after microsurgery. The GTR group had a higher rate of complications than those with STR. There were no late adverse effects after adjuvant radiotherapy during follow up.\n\nCONCLUSION\n\nFor patients with skull base atypical meningiomas, GTR is desirable for longer PFS, unless radical excision is expected to lead to severe complications. Adjuvant radiation therapy is advisable to reduce tumor recurrence regardless of the extent of surgical resection. Age of disease onset and the MIB-1 index of the tumor were both independent prognostic factors of clinical outcome.\n\nCopyright © 2014 Elsevier B.V. All rights reserved.","archive":"Crossref","citation-key":"wangSkullBaseAtypical2015","container-title":"Clinical Neurology and Neurosurgery","DOI":"10.1016/j.clineuro.2014.11.009","ISSN":"0303-8467","journalAbbreviation":"Clinical Neurology and Neurosurgery","language":"en","page":"112-116","title":"Skull base atypical meningioma: Long term surgical outcome and prognostic factors","volume":"128","author":[{"family":"Wang","given":"Yu-Chi"},{"family":"Chuang","given":"Chi-Cheng"},{"family":"Wei","given":"Kuo-Chen"},{"family":"Hsu","given":"Yung-Hsin"},{"family":"Hsu","given":"Peng-Wei"},{"family":"Lee","given":"Shih-Tseng"},{"family":"Wu","given":"Chieh-Tsai"},{"family":"Tseng","given":"Chen-Kan"},{"family":"Wang","given":"Chun-Chieh"},{"family":"Chen","given":"Yao-Liang"},{"family":"Jung","given":"Shih-Min"},{"family":"Chen","given":"Pin-Yuan"}],"issued":{"date-parts":[["2015",1]]}}}],"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sidR="0047428E" w:rsidRPr="0047428E">
        <w:rPr>
          <w:rFonts w:ascii="Palatino Linotype" w:hAnsi="Palatino Linotype"/>
          <w:color w:val="000000"/>
          <w:sz w:val="20"/>
          <w:vertAlign w:val="superscript"/>
        </w:rPr>
        <w:t>1,2</w:t>
      </w:r>
      <w:r>
        <w:rPr>
          <w:rFonts w:ascii="Palatino Linotype" w:eastAsia="Palatino Linotype" w:hAnsi="Palatino Linotype" w:cs="Palatino Linotype"/>
          <w:color w:val="000000"/>
          <w:sz w:val="20"/>
          <w:szCs w:val="20"/>
        </w:rPr>
        <w:fldChar w:fldCharType="end"/>
      </w:r>
      <w:r w:rsidRPr="00D244A5">
        <w:rPr>
          <w:rFonts w:ascii="Palatino Linotype" w:eastAsia="Palatino Linotype" w:hAnsi="Palatino Linotype" w:cs="Palatino Linotype"/>
          <w:color w:val="000000"/>
          <w:sz w:val="20"/>
          <w:szCs w:val="20"/>
        </w:rPr>
        <w:t xml:space="preserve"> Surgical resection remains the primary treatment strategy for symptomatic and progressive lesions</w:t>
      </w:r>
      <w:r>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{"citationID":"FGBMFjjG","properties":{"formattedCitation":"\\super 3,4\\nosupersub{}","plainCitation":"3,4","noteIndex":0},"citationItems":[{"id":4891,"uris":["http://zotero.org/users/15552969/items/2HF6XWXD"],"itemData":{"id":4891,"type":"article-journal","abstract":"Abstract\n            Meningiomas are the most common intracranial tumors. Yet, only few controlled clinical trials have been conducted to guide clinical decision making, resulting in variations of management approaches across countries and centers. However, recent advances in molecular genetics and clinical trial results help to refine the diagnostic and therapeutic approach to meningioma. Accordingly, the European Association of Neuro-Oncology (EANO) updated its recommendations for the diagnosis and treatment of meningiomas. A provisional diagnosis of meningioma is typically made by neuroimaging, mostly magnetic resonance imaging. Such provisional diagnoses may be made incidentally. Accordingly, a significant proportion of meningiomas, notably in patients that are asymptomatic or elderly or both, may be managed by a watch-and-scan strategy. A surgical intervention with tissue, commonly with the goal of gross total resection, is required for the definitive diagnosis according to the WHO classification. A role for molecular profiling including gene panel sequencing and genomic methylation profiling is emerging. A gross total surgical resection including the involved dura is often curative. Inoperable or recurrent tumors requiring treatment can be treated with radiosurgery, if the size or the vicinity of critical structures allows that, or with fractionated radiotherapy (RT). Treatment concepts combining surgery and radiosurgery or fractionated RT are increasingly used, although there remain controversies regard timing, type, and dosing of the various RT approaches. Radionuclide therapy targeting somatostatin receptors is an experimental approach, as are all approaches of systemic pharmacotherapy. The best albeit modest results with pharmacotherapy have been obtained with bevacizumab or multikinase inhibitors targeting vascular endothelial growth factor receptor, but no standard of care systemic treatment has been yet defined.","citation-key":"goldbrunnerEANOGuidelineDiagnosis2021","container-title":"Neuro-Oncology","DOI":"10.1093/neuonc/noab150","ISSN":"1522-8517, 1523-5866","issue":"11","language":"en","license":"https://academic.oup.com/journals/pages/open_access/funder_policies/chorus/standard_publication_model","page":"1821-1834","source":"DOI.org (Crossref)","title":"EANO guideline on the diagnosis and management of meningiomas","volume":"23","author":[{"family":"Goldbrunner","given":"Roland"},{"family":"Stavrinou","given":"Pantelis"},{"family":"Jenkinson","given":"Michael D"},{"family":"Sahm","given":"Felix"},{"family":"Mawrin","given":"Christian"},{"family":"Weber","given":"Damien C"},{"family":"Preusser","given":"Matthias"},{"family":"Minniti","given":"Giuseppe"},{"family":"Lund-Johansen","given":"Morten"},{"family":"Lefranc","given":"Florence"},{"family":"Houdart","given":"Emanuel"},{"family":"Sallabanda","given":"Kita"},{"family":"Le Rhun","given":"Emilie"},{"family":"Nieuwenhuizen","given":"David"},{"family":"Tabatabai","given":"Ghazaleh"},{"family":"Soffietti","given":"Riccardo"},{"family":"Weller","given":"Michael"}],"issued":{"date-parts":[["2021",11,2]]}}},{"id":4906,"uris":["http://zotero.org/users/15552969/items/66WUSK44"],"itemData":{"id":4906,"type":"book","citation-key":"leeMeningiomas2009","DOI":"10.1007/978-1-84628-784-8","ISBN":"978-1-84882-910-7","language":"en","license":"http://www.springer.com/tdm","publisher":"Springer London","publisher-place":"London","source":"DOI.org (Crossref)","title":"Meningiomas","URL":"http://link.springer.com/10.1007/978-1-84628-784-8","editor":[{"family":"Lee","given":"Joung H."}],"accessed":{"date-parts":[["2025",11,13]]},"issued":{"date-parts":[["2009"]]}}}],"schema":"https://github.com/citation-style-language/schema/raw/master/csl-citation.json"}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sidR="0047428E" w:rsidRPr="0047428E">
        <w:rPr>
          <w:rFonts w:ascii="Palatino Linotype" w:hAnsi="Palatino Linotype"/>
          <w:color w:val="000000"/>
          <w:sz w:val="20"/>
          <w:vertAlign w:val="superscript"/>
        </w:rPr>
        <w:t>3,4</w:t>
      </w:r>
      <w:r>
        <w:rPr>
          <w:rFonts w:ascii="Palatino Linotype" w:eastAsia="Palatino Linotype" w:hAnsi="Palatino Linotype" w:cs="Palatino Linotype"/>
          <w:color w:val="000000"/>
          <w:sz w:val="20"/>
          <w:szCs w:val="20"/>
        </w:rPr>
        <w:fldChar w:fldCharType="end"/>
      </w:r>
      <w:r w:rsidRPr="00D244A5">
        <w:rPr>
          <w:rFonts w:ascii="Palatino Linotype" w:eastAsia="Palatino Linotype" w:hAnsi="Palatino Linotype" w:cs="Palatino Linotype"/>
          <w:color w:val="000000"/>
          <w:sz w:val="20"/>
          <w:szCs w:val="20"/>
        </w:rPr>
        <w:t xml:space="preserve"> However, the intricate anatomy of the skull base predisposes patients to higher rates of postoperative neurological morbidity than those with NSBMs.</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{"citationID":"nQNG7Cnb","properties":{"formattedCitation":"\\super 5\\uc0\\u8211{}12\\nosupersub{}","plainCitation":"5–12","noteIndex":0},"citationItems":[{"id":4812,"uris":["http://zotero.org/users/15552969/items/QPD8JB3G"],"itemData":{"id":4812,"type":"article-journal","abstract":"The authors report 257 patients who underwent 338 craniotomies for the removal of meningiomas. The average duration of observed survival was 9.0 years, while that with acceptable quality of life was 8.3 years. Multiple factors including the size and location of tumors, the degree of tumor excision, the histological features, and the preoperative condition of the patients are important in both duration of survival and quality of life following surgery for intracranial meningiomas. Computerized tomography permits early diagnosis and is invaluable in follow-up assessment. It allows for recognition of small recurrent tumors, and offers a better opportunity for complete removal and, subsequently, a longer duration of reasonable survival. Radiation therapy may prolong survival time in patients with malignant\nmeningiomas, but it fails to delay further tumor recurrences following its delivery to patients with recurrent tumors. There are multiple predisposing factors responsible for the development of postoperative seizures. These include tumor recurrence involving highly functional anatomical areas of the brain, history of preoperative seizures, and intraoperative factors such as excessive brain retraction and the sacrifice of major draining or bridging veins. Intraoperative\ncomplications may be decreased by using osmotic diuretics and\nsubarachnoid drains, meticulous dissection, and with the increased awareness and preservation of the important venous structures.","archive":"Crossref","citation-key":"chanMorbidityMortalityQuality1984","container-title":"Journal of Neurosurgery","DOI":"10.3171/jns.1984.60.1.0052","ISSN":"0022-3085","issue":"1","page":"52-60","title":"Morbidity, mortality, and quality of life following surgery for intracranial meningiomas","volume":"60","author":[{"family":"Chan","given":"Richard C."},{"family":"Thompson","given":"Gordon B."}],"issued":{"date-parts":[["1984",1]]}}},{"id":4831,"uris":["http://zotero.org/users/15552969/items/AHSPJY8H"],"itemData":{"id":4831,"type":"article-journal","abstract":"BACKGROUND\n\nCraniotomies carry inherent risks of postoperative complications that may have a negative impact on patients' status. Recognizing and\npreventing surgical complications is of paramount importance,\nespecially in meningioma surgery, where most of these tumors are\nbenign and current management protocols are effective in terms of disease control and maintenance of higher quality of life. The\nobjective of this study was to describe the early complications after surgery and their predictive factors in patients undergoing resection of intracranial meningiomas.\n\nMETHODS\n\nA partly retrospective, partly prospective review was conducted in a Norwegian population-based cohort of 1469 consecutive cases of\nmeningioma surgery treated at the university hospitals of Oslo,\ntotaling 11,414 patient-years of follow-up.\n\nRESULTS\n\n2.6% of patients had a postoperative hematoma, 2.7% a postoperative infection, 3.9% a postoperative worsening of neurologic status; 5.4% of patients died during a 30-day period after surgery. Predictive factors of increased risk of postoperative complications were\npatient's age for the hematoma, a non-skull base meningioma for\ninfection, and postoperative hematoma for the risk of neurologic\nworsening or 30-day mortality.\n\nCONCLUSIONS\n\nEarly postoperative complications in meningioma surgery have a\nnegative impact on patient survival and postoperative neurologic\nstatus, in a disease where survival is usually not limited by the meningioma itself. In this study, we identified risk factors for early postoperative complications, the identification of at-risk populations may help to prevent the occurrence of these risk factors.\n\nCopyright © 2019 Elsevier Inc. All rights reserved.","archive":"Crossref","citation-key":"lemeeEarlyPostoperativeComplications2019","container-title":"World Neurosurgery","DOI":"10.1016/j.wneu.2019.05.010","ISSN":"1878-8750","journalAbbreviation":"World Neurosurgery","language":"en","page":"e851-e858","title":"Early Postoperative Complications in Meningioma: Predictive Factors and Impact on Outcome","volume":"128","author":[{"family":"Lemée","given":"Jean-Michel"},{"family":"Corniola","given":"Marco V."},{"family":"Da Broi","given":"Michele"},{"family":"Schaller","given":"Karl"},{"family":"Meling","given":"Torstein R."}],"issued":{"date-parts":[["2019",8]]}}},{"id":4893,"uris":["http://zotero.org/users/15552969/items/4RII8S3L","http://zotero.org/users/15552969/items/8LX4NKLM"],"itemData":{"id":4893,"type":"article-journal","abstract":"Abstract\n            \n              Background\n              Neurosurgical resection is the mainstay of meningioma treatment. Adverse event (AE) rates of meningioma resections are significant, but preoperative risk factors for major AEs in patients undergoing first-time meningioma surgery are largely unknown. The aim of this study was to explore major AEs and identify preoperative risk factors in patients undergoing first-time meningioma surgery.\n            \n            \n              Methods\n              Data on all meningioma resections performed at the University Hospital Zurich from 1 January 2013 to 31 December 2018 were collected in a prospective registry. All AEs that occurred within 3 months of surgery were documented in detail and classified as “minor” or “major.” Statistical analysis included initial individual bivariate analyses of all preoperative factors and the occurrence of major AEs. Statistically significant variables were then included in a logistic regression model to identify predictors.\n            \n            \n              Results\n              Three hundred forty-five patients were included in the study. Mean age was 58.1 years, and 77.1% of patients were female. The overall major AE rate was 20.6%; the most common of which was a new focal neurological deficit (12.8% of patients). Six preoperative factors showed a significant association with the occurrence of major AEs in bivariate analysis. All variables included in the logistic regression model showed increased odds of occurrence of major AE, but only tumor complexity as measured by the Milan Complexity Scale was a statistically significant predictor, with a score of 4 or more having twice the odds of major AEs (OR: 2.00, 95% CI: 1.15–3.48).\n            \n            \n              Conclusion\n              High tumor complexity is an independent predictor of the occurrence of major AEs following meningioma resection. Preoperative assessment of tumor complexity using the Milan Complexity Scale is warranted and can aid communication with patients about AE rates and surgical decision-making.","citation-key":"jenkinsPreoperativeRiskFactors2021","container-title":"Acta Neurochirurgica","DOI":"10.1007/s00701-021-04897-x","ISSN":"0001-6268, 0942-0940","issue":"10","journalAbbreviation":"Acta Neurochir","language":"en","page":"2871-2879","source":"DOI.org (Crossref)","title":"Preoperative risk factors associated with new focal neurological deficit and other major adverse events in first-time intracranial meningioma neurosurgery","volume":"163","author":[{"family":"Jenkins","given":"Freya Sophie"},{"family":"Vasella","given":"Flavio"},{"family":"Padevit","given":"Luis"},{"family":"Mutschler","given":"Valentino"},{"family":"Akeret","given":"Kevin"},{"family":"Velz","given":"Julia"},{"family":"Regli","given":"Luca"},{"family":"Sarnthein","given":"Johannes"},{"family":"Neidert","given":"Marian Christoph"}],"issued":{"date-parts":[["2021",10]]}}},{"id":4813,"uris":["http://zotero.org/users/15552969/items/8YEMQIBI","http://zotero.org/users/15552969/items/TBG53MYT"],"itemData":{"id":4813,"type":"article-journal","abstract":"Simple Summary We provide the first comprehensive systematic review and meta-analysis examining the impact of tumor location and treatment modalities on health-related quality of life (HRQoL) in patients with meningioma. We systematically reviewed HRQoL outcomes for non-skull base meningiomas (NSBMs), anterior, middle, and posterior fossa skull base meningiomas (SBMs) following neurosurgical and/or\nradiotherapeutic intervention. The literature was searched for studies that investigated HRQoL following surgical resection, radiosurgery, or radiotherapy and was analyzed to reveal HRQoL outcomes based on tumor location. With regard to therapeutic intervention, craniotomy was associated with significantly higher improvements in postoperative Karnofsky Performance Status (KPS) scores following treatment of\nanterior/middle skull base meningiomas (SBMs) in comparison to\nposterior SBMs. The authors further investigate factors that may\nimpact HRQoL and the occurrence of postoperative neurological\ndeficits. Due to a lack of consensus on the use of standardized\nquantitative tools to measure HRQoL, results are difficult to compare within the literature. We therefore provide recommendations on the utility of pertinent HRQoL instruments based upon skull base region and treatment modality. Abstract Patients with meningiomas may have reduced health-related quality of life (HRQoL) due to postoperative neurological deficits, cognitive dysfunction, and psychosocial burden. Although advances in surgery and radiotherapy have improved\nprogression-free survival rates, there is limited evidence regarding treatment outcomes on HRQoL. This review examines HRQoL outcomes based on tumor location and treatment modality. A systematic search in\nPubMed yielded 28 studies with 3167 patients. The mean age was 54.27 years and most patients were female (70.8%). Approximately 78% of meningiomas were located in the skull base (10.8% anterior, 23.3% middle, and 39.7% posterior fossae). Treatment modalities included craniotomy (73.6%), radiotherapy (11.4%), and endoscopic endonasal approach (EEA) (4.0%). The Karnofsky Performance Scale (KPS) was the most commonly utilized HRQoL instrument (27%). Preoperative KPS scores &gt; 80 were associated with increased occurrence of postoperative\nneurological deficits. A significant difference was found between pre- and post-operative KPS scores for anterior/middle skull base\nmeningiomas (SBMs) in comparison to posterior (SBMs) when treated with craniotomy. Post-craniotomy SF-36 scores were lower for posterior SBMs in comparison to those in the anterior and middle fossae. Risk factors for poor neurological outcomes include a high preoperative KPS score and patients with posterior SBMs may experience a greater burden in HRQoL.","archive":"Crossref","citation-key":"sanHealthRelatedQualityLife2023","container-title":"Cancers","DOI":"10.3390/cancers15194680","ISSN":"2072-6694","issue":"19","journalAbbreviation":"Cancers","language":"en","page":"4680","title":"Health-Related Quality of Life Outcomes in Meningioma Patients Based upon Tumor Location and Treatment Modality: A Systematic Review and Meta-Analysis","volume":"15","author":[{"family":"San","given":"Ali"},{"family":"Rahman","given":"Raphia K."},{"family":"Sanmugananthan","given":"Praveen"},{"family":"Dubé","given":"Michael D."},{"family":"Panico","given":"Nicholas"},{"family":"Ariwodo","given":"Ogechukwu"},{"family":"Shah","given":"Vidur"},{"family":"D’Amico","given":"Randy S."}],"issued":{"date-parts":[["2023",9,22]]}}},{"id":3335,"uris":["http://zotero.org/users/15552969/items/ASZLH3ZV"],"itemData":{"id":3335,"type":"article-journal","abstract":"BACKGROUND: Skull base meningiomas are chronic conditions that can present with a wide variety of symptoms ranging from near normalcy to chronic and prolonged disability and also often worsen by treatment-related sequelae. Hence, it is necessary to investigate the quality of life (QOL) among patients with skull base meningioma and evaluate the impact of microsurgery on their overall well-being.\nMETHODS: In this prospective observational study, 36 patients undergoing microsurgery for skull base meningioma were assessed for QOL using SF-36 questionnaires. Results were compared to the QOL of 36 patients with a non-neurosurgical chronic disease (diabetes mellitus) and 36 matched healthy volunteers. This study commenced from 2019 and ended in 2022.\nRESULTS: All QOL parameters in skull base meningioma patients were preoperatively significantly worse than in the healthy population. The most affected QOL domain were role limitation due to physical health (RLPH) and role limitation due to emotional problems (RLEP). Within one year after surgery, skull base meningioma patients showed a significant improvement of all QOL parameters. The domains of physical functioning (PF), emotional well-being (EWB), body pain (BP) and general health (GH) improved to similar values as their matched healthy controls. However, social functioning (SF), RLPH, and RLPE remained still significantly affected. Compared to chronic diabetic patients, the domains PF, EWB, BP, and GH showed significantly better QOL values after one year in skull base meningioma patients, but RLEP and RLPH were worse.\nCONCLUSION: Microsurgery can significantly improve all QOL domains in skull base meningioma patients within one year. Physical activity, overall health, and mental well-being have been observed to return to even normal levels. While certain QOL domains may still be affected post-microsurgery, it is evident that microsurgery can yield a substantial improvement, ultimately raising QOL to levels surpassing those seen in other non-neurosurgical chronic diseases, such as diabetes mellitus.","citation-key":"pradhanQualityLifePatients2024","container-title":"Acta Neurochirurgica","DOI":"10.1007/s00701-024-06291-9","ISSN":"0942-0940","issue":"1","journalAbbreviation":"Acta Neurochir (Wien)","language":"eng","page":"416","PMID":"39425806","source":"PubMed","title":"Quality of life in patients with skull base meningiomas treated with microsurgery: a prospective observational study","title-short":"Quality of life in patients with skull base meningiomas treated with microsurgery","volume":"166","author":[{"family":"Pradhan","given":"Reema"},{"family":"Misra","given":"Basant K."},{"family":"Hosmann","given":"Arthur"}],"issued":{"date-parts":[["2024",10,19]]}}},{"id":4896,"uris":["http://zotero.org/users/15552969/items/D42RAQL2"],"itemData":{"id":4896,"type":"article-journal","citation-key":"rangel-castillaSurgicalManagementSkull2016","container-title":"Reports of Practical Oncology &amp; Radiotherapy","DOI":"10.1016/j.rpor.2014.09.002","ISSN":"15071367","issue":"4","journalAbbreviation":"Reports of Practical Oncology &amp; Radiotherapy","language":"en","page":"325-335","source":"DOI.org (Crossref)","title":"Surgical management of skull base tumors","volume":"21","author":[{"family":"Rangel-Castilla","given":"Leonardo"},{"family":"Russin","given":"Jonathan J."},{"family":"Spetzler","given":"Robert F."}],"issued":{"date-parts":[["2016",7]]}}},{"id":4817,"uris":["http://zotero.org/users/15552969/items/BH36G7FV"],"itemData":{"id":4817,"type":"article-journal","abstract":"The objective of the investigation was to report on the health-related quality of life (HRQoL) of patients diagnosed with skull base tumours using the Short Form Health Survey questionnaire (SF-36). Those\npatients suffering with vestibular schwannoma were examined to\ndetermine the effect facial nerve function had on their quality of life. It took place at the tertiary referral centre at the Department of Clinical Neurosciences, Western General Hospital, Edinburgh. A prospective study of 70 consecutive patients was taken, who harboured the following tumours: 54 vestibular schwannomas, 13 meningiomas, two haemangioblastomas and one hypoglossal schwannoma. Patients were\ninterviewed using the short form 36 (SF-36) questionnaire. Facial nerve function was assessed in those patients who had vestibular\nschwannomas. The entire cohort of live skull base patients were\nassessed after a median follow-up time of 38.4 months. Patients with vestibular schwannoma treated conservatively with interval MRI had a quality of life similar to the normal population. Those who underwent surgery had a significant difference in two of the SF-36 domains. No statistically significant correlation was found at final assessment between the degree of facial nerve functioning and any of the domains of SF-36. Patients with non-vestibular tumours had an impaired HRQoL in seven of the eight domains. Patients with skull base tumours have a significant impairment of their HRQoL. A conservative policy of follow up with interval MRI for patients with small vestibular schwannomas may therefore be more appropriate to preserve their HRQoL. Facial nerve outcome has little influence on quality of life in vestibular schwannoma patients.","archive":"Crossref","citation-key":"kelleherHealthrelatedQualityLife2002","container-title":"British Journal of Neurosurgery","DOI":"10.1080/02688690120114183","ISSN":"0268-8697","issue":"1","journalAbbreviation":"British Journal of Neurosurgery","language":"en","page":"16-20","title":"Health-related quality of life in patients with skull base tumours","volume":"16","author":[{"family":"Kelleher","given":"M. O."},{"family":"Fernandes","given":"M. F."},{"family":"Sim","given":"D. W."},{"family":"O'Sullivan","given":"M. G."}],"issued":{"date-parts":[["2002",1]]}}},{"id":4802,"uris":["http://zotero.org/users/15552969/items/P2FJ2E68","http://zotero.org/users/15552969/items/WZK7AD7T"],"itemData":{"id":4802,"type":"article-journal","abstract":"Although surgical excision of meningioma and its dural base is the most common primary management, skull base meningiomas are quite\ndifferent, and contemporary management usually consists of multimodal treatment with the aim of achieving the best possible functional\noutcome and quality of life (QOL) for these patients. As surgery plays an important role in the treatment of skull base meningiomas, it is crucial for neurosurgeons to appreciate the surgical outcome and QOL after meningioma surgery. Outcome is usually measured for meningiomas in terms of morbidity, mortality, time to recurrence, and QOL. The extent of resection, tumor grade, proliferative markers, and tumor location are significant factors in predicting the surgical outcome. Therefore, we address each of these factors in detail in this review. Advances in recent decades in microsurgical techniques, neuroimaging modalities, neuroanesthesia, and perioperative intensive care have substantially improved the surgical outcome; therefore, most surgical outcomes discussed in this review are cited from contemporary\nliterature (2000 to the present) in order to depict the surgical\noutcome of contemporary microsurgery.","archive":"Crossref","citation-key":"chenContemporarySurgicalOutcome2011","container-title":"Neurosurgical Review","DOI":"10.1007/s10143-011-0321-x","ISSN":"0344-5607","issue":"3","journalAbbreviation":"Neurosurg Rev","language":"en","page":"281-296","title":"Contemporary surgical outcome for skull base meningiomas","volume":"34","author":[{"family":"Chen","given":"Chien-Min"},{"family":"Huang","given":"Abel Po-Hao"},{"family":"Kuo","given":"Lu-Ting"},{"family":"Tu","given":"Yong-Kwang"}],"issued":{"date-parts":[["2011",5,26]]}}}],"schema":"https://github.com/citation-style-language/schema/raw/master/csl-citation.json"}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sidR="0047428E" w:rsidRPr="0047428E">
        <w:rPr>
          <w:rFonts w:ascii="Palatino Linotype" w:hAnsi="Palatino Linotype"/>
          <w:color w:val="000000"/>
          <w:sz w:val="20"/>
          <w:vertAlign w:val="superscript"/>
        </w:rPr>
        <w:t>5–12</w:t>
      </w:r>
      <w:r>
        <w:rPr>
          <w:rFonts w:ascii="Palatino Linotype" w:eastAsia="Palatino Linotype" w:hAnsi="Palatino Linotype" w:cs="Palatino Linotype"/>
          <w:color w:val="000000"/>
          <w:sz w:val="20"/>
          <w:szCs w:val="20"/>
        </w:rPr>
        <w:fldChar w:fldCharType="end"/>
      </w:r>
      <w:r w:rsidRPr="00D244A5">
        <w:rPr>
          <w:rFonts w:ascii="Palatino Linotype" w:eastAsia="Palatino Linotype" w:hAnsi="Palatino Linotype" w:cs="Palatino Linotype"/>
          <w:color w:val="000000"/>
          <w:sz w:val="20"/>
          <w:szCs w:val="20"/>
        </w:rPr>
        <w:t xml:space="preserve"> Consequently, improving the ability to predict the postoperative course of patients with SBMs could help reduce morbidity and optimize the delivery of high-value care post-surgery.</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{"citationID":"GRtNed6r","properties":{"formattedCitation":"\\super 8,10,11\\nosupersub{}","plainCitation":"8,10,11","dontUpdate":true,"noteIndex":0},"citationItems":[{"id":3335,"uris":["http://zotero.org/users/15552969/items/ASZLH3ZV"],"itemData":{"id":3335,"type":"article-journal","abstract":"BACKGROUND: Skull base meningiomas are chronic conditions that can present with a wide variety of symptoms ranging from near normalcy to chronic and prolonged disability and also often worsen by treatment-related sequelae. Hence, it is necessary to investigate the quality of life (QOL) among patients with skull base meningioma and evaluate the impact of microsurgery on their overall well-being.\nMETHODS: In this prospective observational study, 36 patients undergoing microsurgery for skull base meningioma were assessed for QOL using SF-36 questionnaires. Results were compared to the QOL of 36 patients with a non-neurosurgical chronic disease (diabetes mellitus) and 36 matched healthy volunteers. This study commenced from 2019 and ended in 2022.\nRESULTS: All QOL parameters in skull base meningioma patients were preoperatively significantly worse than in the healthy population. The most affected QOL domain were role limitation due to physical health (RLPH) and role limitation due to emotional problems (RLEP). Within one year after surgery, skull base meningioma patients showed a significant improvement of all QOL parameters. The domains of physical functioning (PF), emotional well-being (EWB), body pain (BP) and general health (GH) improved to similar values as their matched healthy controls. However, social functioning (SF), RLPH, and RLPE remained still significantly affected. Compared to chronic diabetic patients, the domains PF, EWB, BP, and GH showed significantly better QOL values after one year in skull base meningioma patients, but RLEP and RLPH were worse.\nCONCLUSION: Microsurgery can significantly improve all QOL domains in skull base meningioma patients within one year. Physical activity, overall health, and mental well-being have been observed to return to even normal levels. While certain QOL domains may still be affected post-microsurgery, it is evident that microsurgery can yield a substantial improvement, ultimately raising QOL to levels surpassing those seen in other non-neurosurgical chronic diseases, such as diabetes mellitus.","citation-key":"pradhanQualityLifePatients2024","container-title":"Acta Neurochirurgica","DOI":"10.1007/s00701-024-06291-9","ISSN":"0942-0940","issue":"1","journalAbbreviation":"Acta Neurochir (Wien)","language":"eng","page":"416","PMID":"39425806","source":"PubMed","title":"Quality of life in patients with skull base meningiomas treated with microsurgery: a prospective observational study","title-short":"Quality of life in patients with skull base meningiomas treated with microsurgery","volume":"166","author":[{"family":"Pradhan","given":"Reema"},{"family":"Misra","given":"Basant K."},{"family":"Hosmann","given":"Arthur"}],"issued":{"date-parts":[["2024",10,19]]}}},{"id":3353,"uris":["http://zotero.org/users/15552969/items/MCVCUUQA"],"itemData":{"id":3353,"type":"article-journal","abstract":"Despite the importance of functional outcome, only a few scoring systems exist to predict neurologic outcome in meningioma surgery. Therefore, our study aims to identify preoperative risk factors and develop the receiver operating characteristics (ROC) models estimating the risk of a new postoperative neurologic deficit and a decrease in Karnofsky performance status (KPS). A multicentric study was conducted in a cohort of 552 consecutive patients with skull base meningiomas who underwent surgical resection from 2014 to 2019. Data were gathered from clinical, surgical, and pathology records as well as radiological diagnostics. The preoperative predictive factors of functional outcome (neurologic deficit, decrease in KPS) were analyzed in univariate and multivariate stepwise selection analyses. Permanent neurologic deficits were present in 73 (13.2%) patients and a postoperative decrease in KPS in 84 (15.2%). Surgery-related mortality was 1.3%. A ROC model was developed to estimate the probability of a new neurologic deficit (area 0.74; SE 0.0284; 95% Wald confidence limits (0.69; 0.80)) based on meningioma location and diameter. Consequently, a ROC model was developed to predict the probability of a postoperative decrease in KPS (area 0.80; SE 0.0289; 95% Wald confidence limits (0.74; 0.85)) based on the patient's age, meningioma location, diameter, presence of hyperostosis, and dural tail. To ensure an evidence-based therapeutic approach, treatment should be founded on known risk factors, scoring systems, and predictive models. We propose ROC models predicting the functional outcome of skull base meningioma resection based on the age of the patient, meningioma size, and location and the presence of hyperostosis and dural tail.","citation-key":"mayRoleRiskFactors2023","container-title":"Neurosurgical Review","DOI":"10.1007/s10143-023-02004-5","ISSN":"1437-2320","issue":"1","journalAbbreviation":"Neurosurg Rev","language":"eng","page":"124","PMID":"37219634","PMCID":"PMC10205827","source":"PubMed","title":"Role of risk factors, scoring systems, and prognostic models in predicting the functional outcome in meningioma surgery: multicentric study of 552 skull base meningiomas","title-short":"Role of risk factors, scoring systems, and prognostic models in predicting the functional outcome in meningioma surgery","volume":"46","author":[{"family":"May","given":"Michaela"},{"family":"Sedlak","given":"Vojtech"},{"family":"Pecen","given":"Ladislav"},{"family":"Priban","given":"Vladimir"},{"family":"Buchvald","given":"Pavel"},{"family":"Fiedler","given":"Jiri"},{"family":"Vaverka","given":"Miroslav"},{"family":"Lipina","given":"Radim"},{"family":"Reguli","given":"Stefan"},{"family":"Malik","given":"Jozef"},{"family":"Netuka","given":"David"},{"family":"Benes","given":"Vladimir"}],"issued":{"date-parts":[["2023",5,23]]}}},{"id":4852,"uris":["http://zotero.org/users/15552969/items/PBBI65RB","http://zotero.org/users/15552969/items/IKTJMPDP"],"itemData":{"id":4852,"type":"article-journal","citation-key":"muhlesteinImpactPresurgicalComorbidities2017","container-title":"Surgical Neurology International","DOI":"10.4103/sni.sni_54_17","ISSN":"2152-7806","issue":"1","journalAbbreviation":"Surg Neurol Int","language":"en","page":"220","source":"DOI.org (Crossref)","title":"The impact of presurgical comorbidities on discharge disposition and length of hospitalization following craniotomy for brain tumor","volume":"8","author":[{"family":"Muhlestein","given":"WhitneyE"},{"family":"Akagi","given":"DallinS"},{"family":"Chotai","given":"Silky"},{"family":"Chambless","given":"LolaB"}],"issued":{"date-parts":[["2017"]]}}}],"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Pr>
          <w:rFonts w:ascii="Palatino Linotype" w:eastAsia="Palatino Linotype" w:hAnsi="Palatino Linotype" w:cs="Palatino Linotype"/>
          <w:color w:val="000000"/>
          <w:sz w:val="20"/>
          <w:szCs w:val="20"/>
        </w:rPr>
        <w:fldChar w:fldCharType="end"/>
      </w:r>
    </w:p>
    <w:p w14:paraId="4FB3D807" w14:textId="2DFC853C" w:rsidR="00AB700A" w:rsidRDefault="00264D4D" w:rsidP="0000176F">
      <w:pPr>
        <w:pBdr>
          <w:top w:val="nil"/>
          <w:left w:val="nil"/>
          <w:bottom w:val="nil"/>
          <w:right w:val="nil"/>
          <w:between w:val="nil"/>
        </w:pBdr>
        <w:spacing w:line="360" w:lineRule="auto"/>
        <w:ind w:firstLine="360"/>
        <w:jc w:val="both"/>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Numerous studies have identified preoperative and treatment-related factors that influence adverse neurosurgical outcomes, primarily using traditional statistical methods, particularly logistic regression (LR).</w:t>
      </w:r>
      <w:r w:rsidR="00342ECF">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{"citationID":"ig4G1O6X","properties":{"formattedCitation":"\\super 6,8,13,15\\nosupersub{}","plainCitation":"6,8,13,15","noteIndex":0},"citationItems":[{"id":4831,"uris":["http://zotero.org/users/15552969/items/AHSPJY8H"],"itemData":{"id":4831,"type":"article-journal","abstract":"BACKGROUND\n\nCraniotomies carry inherent risks of postoperative complications that may have a negative impact on patients' status. Recognizing and\npreventing surgical complications is of paramount importance,\nespecially in meningioma surgery, where most of these tumors are\nbenign and current management protocols are effective in terms of disease control and maintenance of higher quality of life. The\nobjective of this study was to describe the early complications after surgery and their predictive factors in patients undergoing resection of intracranial meningiomas.\n\nMETHODS\n\nA partly retrospective, partly prospective review was conducted in a Norwegian population-based cohort of 1469 consecutive cases of\nmeningioma surgery treated at the university hospitals of Oslo,\ntotaling 11,414 patient-years of follow-up.\n\nRESULTS\n\n2.6% of patients had a postoperative hematoma, 2.7% a postoperative infection, 3.9% a postoperative worsening of neurologic status; 5.4% of patients died during a 30-day period after surgery. Predictive factors of increased risk of postoperative complications were\npatient's age for the hematoma, a non-skull base meningioma for\ninfection, and postoperative hematoma for the risk of neurologic\nworsening or 30-day mortality.\n\nCONCLUSIONS\n\nEarly postoperative complications in meningioma surgery have a\nnegative impact on patient survival and postoperative neurologic\nstatus, in a disease where survival is usually not limited by the meningioma itself. In this study, we identified risk factors for early postoperative complications, the identification of at-risk populations may help to prevent the occurrence of these risk factors.\n\nCopyright © 2019 Elsevier Inc. All rights reserved.","archive":"Crossref","citation-key":"lemeeEarlyPostoperativeComplications2019","container-title":"World Neurosurgery","DOI":"10.1016/j.wneu.2019.05.010","ISSN":"1878-8750","journalAbbreviation":"World Neurosurgery","language":"en","page":"e851-e858","title":"Early Postoperative Complications in Meningioma: Predictive Factors and Impact on Outcome","volume":"128","author":[{"family":"Lemée","given":"Jean-Michel"},{"family":"Corniola","given":"Marco V."},{"family":"Da Broi","given":"Michele"},{"family":"Schaller","given":"Karl"},{"family":"Meling","given":"Torstein R."}],"issued":{"date-parts":[["2019",8]]}}},{"id":4813,"uris":["http://zotero.org/users/15552969/items/8YEMQIBI","http://zotero.org/users/15552969/items/TBG53MYT"],"itemData":{"id":4813,"type":"article-journal","abstract":"Simple Summary We provide the first comprehensive systematic review and meta-analysis examining the impact of tumor location and treatment modalities on health-related quality of life (HRQoL) in patients with meningioma. We systematically reviewed HRQoL outcomes for non-skull base meningiomas (NSBMs), anterior, middle, and posterior fossa skull base meningiomas (SBMs) following neurosurgical and/or\nradiotherapeutic intervention. The literature was searched for studies that investigated HRQoL following surgical resection, radiosurgery, or radiotherapy and was analyzed to reveal HRQoL outcomes based on tumor location. With regard to therapeutic intervention, craniotomy was associated with significantly higher improvements in postoperative Karnofsky Performance Status (KPS) scores following treatment of\nanterior/middle skull base meningiomas (SBMs) in comparison to\nposterior SBMs. The authors further investigate factors that may\nimpact HRQoL and the occurrence of postoperative neurological\ndeficits. Due to a lack of consensus on the use of standardized\nquantitative tools to measure HRQoL, results are difficult to compare within the literature. We therefore provide recommendations on the utility of pertinent HRQoL instruments based upon skull base region and treatment modality. Abstract Patients with meningiomas may have reduced health-related quality of life (HRQoL) due to postoperative neurological deficits, cognitive dysfunction, and psychosocial burden. Although advances in surgery and radiotherapy have improved\nprogression-free survival rates, there is limited evidence regarding treatment outcomes on HRQoL. This review examines HRQoL outcomes based on tumor location and treatment modality. A systematic search in\nPubMed yielded 28 studies with 3167 patients. The mean age was 54.27 years and most patients were female (70.8%). Approximately 78% of meningiomas were located in the skull base (10.8% anterior, 23.3% middle, and 39.7% posterior fossae). Treatment modalities included craniotomy (73.6%), radiotherapy (11.4%), and endoscopic endonasal approach (EEA) (4.0%). The Karnofsky Performance Scale (KPS) was the most commonly utilized HRQoL instrument (27%). Preoperative KPS scores &gt; 80 were associated with increased occurrence of postoperative\nneurological deficits. A significant difference was found between pre- and post-operative KPS scores for anterior/middle skull base\nmeningiomas (SBMs) in comparison to posterior (SBMs) when treated with craniotomy. Post-craniotomy SF-36 scores were lower for posterior SBMs in comparison to those in the anterior and middle fossae. Risk factors for poor neurological outcomes include a high preoperative KPS score and patients with posterior SBMs may experience a greater burden in HRQoL.","archive":"Crossref","citation-key":"sanHealthRelatedQualityLife2023","container-title":"Cancers","DOI":"10.3390/cancers15194680","ISSN":"2072-6694","issue":"19","journalAbbreviation":"Cancers","language":"en","page":"4680","title":"Health-Related Quality of Life Outcomes in Meningioma Patients Based upon Tumor Location and Treatment Modality: A Systematic Review and Meta-Analysis","volume":"15","author":[{"family":"San","given":"Ali"},{"family":"Rahman","given":"Raphia K."},{"family":"Sanmugananthan","given":"Praveen"},{"family":"Dubé","given":"Michael D."},{"family":"Panico","given":"Nicholas"},{"family":"Ariwodo","given":"Ogechukwu"},{"family":"Shah","given":"Vidur"},{"family":"D’Amico","given":"Randy S."}],"issued":{"date-parts":[["2023",9,22]]}}},{"id":3353,"uris":["http://zotero.org/users/15552969/items/MCVCUUQA"],"itemData":{"id":3353,"type":"article-journal","abstract":"Despite the importance of functional outcome, only a few scoring systems exist to predict neurologic outcome in meningioma surgery. Therefore, our study aims to identify preoperative risk factors and develop the receiver operating characteristics (ROC) models estimating the risk of a new postoperative neurologic deficit and a decrease in Karnofsky performance status (KPS). A multicentric study was conducted in a cohort of 552 consecutive patients with skull base meningiomas who underwent surgical resection from 2014 to 2019. Data were gathered from clinical, surgical, and pathology records as well as radiological diagnostics. The preoperative predictive factors of functional outcome (neurologic deficit, decrease in KPS) were analyzed in univariate and multivariate stepwise selection analyses. Permanent neurologic deficits were present in 73 (13.2%) patients and a postoperative decrease in KPS in 84 (15.2%). Surgery-related mortality was 1.3%. A ROC model was developed to estimate the probability of a new neurologic deficit (area 0.74; SE 0.0284; 95% Wald confidence limits (0.69; 0.80)) based on meningioma location and diameter. Consequently, a ROC model was developed to predict the probability of a postoperative decrease in KPS (area 0.80; SE 0.0289; 95% Wald confidence limits (0.74; 0.85)) based on the patient's age, meningioma location, diameter, presence of hyperostosis, and dural tail. To ensure an evidence-based therapeutic approach, treatment should be founded on known risk factors, scoring systems, and predictive models. We propose ROC models predicting the functional outcome of skull base meningioma resection based on the age of the patient, meningioma size, and location and the presence of hyperostosis and dural tail.","citation-key":"mayRoleRiskFactors2023","container-title":"Neurosurgical Review","DOI":"10.1007/s10143-023-02004-5","ISSN":"1437-2320","issue":"1","journalAbbreviation":"Neurosurg Rev","language":"eng","page":"124","PMID":"37219634","PMCID":"PMC10205827","source":"PubMed","title":"Role of risk factors, scoring systems, and prognostic models in predicting the functional outcome in meningioma surgery: multicentric study of 552 skull base meningiomas","title-short":"Role of risk factors, scoring systems, and prognostic models in predicting the functional outcome in meningioma surgery","volume":"46","author":[{"family":"May","given":"Michaela"},{"family":"Sedlak","given":"Vojtech"},{"family":"Pecen","given":"Ladislav"},{"family":"Priban","given":"Vladimir"},{"family":"Buchvald","given":"Pavel"},{"family":"Fiedler","given":"Jiri"},{"family":"Vaverka","given":"Miroslav"},{"family":"Lipina","given":"Radim"},{"family":"Reguli","given":"Stefan"},{"family":"Malik","given":"Jozef"},{"family":"Netuka","given":"David"},{"family":"Benes","given":"Vladimir"}],"issued":{"date-parts":[["2023",5,23]]}}},{"id":4798,"uris":["http://zotero.org/users/15552969/items/LHBZX8QB"],"itemData":{"id":4798,"type":"article-journal","abstract":"The objective of this study was to examine the prognostic significance of health-related quality of life (HQOL) parameters combined with baseline clinical factors in patients undergoing neurosurgery for treatment of meningioma. A total of 147 patients (61 male, 86 female; mean age 43 years, range 5-77 years) who underwent resection of a meningioma between January 2002 and December 2004 were studied. HQOL was evaluated using a modified questionnaire based on the World Health Organization Quality of Life-100 Scale and the Karnofsky Performance Scale. The relationships between HQOL and clinical history,\nradiological findings, extent of resection, histological grade and recurrence were investigated using multivariate analysis. The mean HQOL score was 73.94+/-1.79 for preoperative patients with meningioma, 84.88+/-2.14 for postoperative patients, and 91.13+/-1.61 for healthy controls. HQOL for patients with meningioma was significantly lower than that for normal controls (P&lt;0.001), and postoperative patients had a more satisfactory HQOL than preoperative (P&lt;0.05). Cox\nproportional hazards analysis showed that significant predictors of health-related quality of life were tumor size, extent of surgical excision, and histologic grade. Multivariate backward logistic\nregression yielded the regression equation HQOL=119.1097 - 1.5002X(3) - 8.6650X(6) - 10.4210X(7) (R=0.7466; where X(3) is tumor size, X(6) is extent of surgical excision, and X(7) is the histologic grade of the tumor). This equation can be used preoperatively to predict the HQOL of meningioma patients after neurosurgery. A specialized HQOL questionnaire for patients with meningioma provides useful information when planning the operative procedure, and may make it more likely that patients have a satisfactory HQOL after surgery.\n\n(c) 2009 Elsevier Ltd. All rights reserved.","archive":"Crossref","citation-key":"miaoMultivariateAnalysisPrognostic2010","container-title":"Journal of Clinical Neuroscience","DOI":"10.1016/j.jocn.2009.07.111","ISSN":"0967-5868","issue":"4","journalAbbreviation":"Journal of Clinical Neuroscience","language":"en","page":"446-449","title":"A multivariate analysis of prognostic factors for health-related quality of life in patients with surgically managed meningioma","volume":"17","author":[{"family":"Miao","given":"Yifeng"},{"family":"Lu","given":"Xiaojie"},{"family":"Qiu","given":"Yongming"},{"family":"Jiang","given":"Jiyao"},{"family":"Lin","given":"Yuchang"}],"issued":{"date-parts":[["2010",4]]}}}],"schema":"https://github.com/citation-style-language/schema/raw/master/csl-citation.json"} </w:instrText>
      </w:r>
      <w:r w:rsidR="00342ECF">
        <w:rPr>
          <w:rFonts w:ascii="Palatino Linotype" w:eastAsia="Palatino Linotype" w:hAnsi="Palatino Linotype" w:cs="Palatino Linotype"/>
          <w:color w:val="000000"/>
          <w:sz w:val="20"/>
          <w:szCs w:val="20"/>
        </w:rPr>
        <w:fldChar w:fldCharType="separate"/>
      </w:r>
      <w:r w:rsidR="0047428E" w:rsidRPr="0047428E">
        <w:rPr>
          <w:rFonts w:ascii="Palatino Linotype" w:hAnsi="Palatino Linotype"/>
          <w:color w:val="000000"/>
          <w:sz w:val="20"/>
          <w:vertAlign w:val="superscript"/>
        </w:rPr>
        <w:t>6,8,13,15</w:t>
      </w:r>
      <w:r w:rsidR="00342ECF">
        <w:rPr>
          <w:rFonts w:ascii="Palatino Linotype" w:eastAsia="Palatino Linotype" w:hAnsi="Palatino Linotype" w:cs="Palatino Linotype"/>
          <w:color w:val="000000"/>
          <w:sz w:val="20"/>
          <w:szCs w:val="20"/>
        </w:rPr>
        <w:fldChar w:fldCharType="end"/>
      </w:r>
      <w:r w:rsidR="00273CB2">
        <w:rPr>
          <w:rFonts w:ascii="Palatino Linotype" w:eastAsia="Palatino Linotype" w:hAnsi="Palatino Linotype" w:cs="Palatino Linotype"/>
          <w:color w:val="000000"/>
          <w:sz w:val="20"/>
          <w:szCs w:val="20"/>
        </w:rPr>
        <w:t xml:space="preserve"> Although LR is a robust technique, it is most effective with datasets containing a limited number of independent variables.</w:t>
      </w:r>
      <w:r w:rsidR="00273CB2">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{"citationID":"1oV2UMEX","properties":{"formattedCitation":"\\super 2,6,13,16\\uc0\\u8211{}18\\nosupersub{}","plainCitation":"2,6,13,16–18","noteIndex":0},"citationItems":[{"id":4832,"uris":["http://zotero.org/users/15552969/items/BFRHH44N"],"itemData":{"id":4832,"type":"article-journal","abstract":"PURPOSE\n\nThe aim of this study was to examine the clinical outcomes of treating atypical meningioma at the skull base region following surgical\nresection and adjuvant radiotherapy, and to analyze the association between clinical characteristics and progression free survival.\n\nMATERIALS AND METHODS\n\nTwenty-eight patients with skull base atypical meningiomas underwent microsurgical resection between June 2001 and November 2009. The\nclinical characteristics of the patients and meningiomas, the extent of surgical resection, and complications after treatment were\nretrospectively analyzed.\n\nRESULTS\n\nThirteen patients (46.4%) had disease recurrence or progression during follow up time. The median time to disease progression was 64 months. The extent of the surgical resection significantly impacted prognosis. Gross total resection (GTR) of the tumor improved progression free survival (PFS) compared to subtotal resection (STR, p = 0.011). An older patient age at diagnosis also resulted in a worse outcome (p = 0.024). An MIB-1 index &lt;8% also contributed to improved PFS (p =\n0.031). None of the patients that underwent GTR and received adjuvant radiotherapy had tumors recur during follow up. STR with adjuvant radiotherapy tended to result in better local tumor control than STR alone (p = 0.074). Three of 28 patients (10.7%) developed\ncomplications after microsurgery. The GTR group had a higher rate of complications than those with STR. There were no late adverse effects after adjuvant radiotherapy during follow up.\n\nCONCLUSION\n\nFor patients with skull base atypical meningiomas, GTR is desirable for longer PFS, unless radical excision is expected to lead to severe complications. Adjuvant radiation therapy is advisable to reduce tumor recurrence regardless of the extent of surgical resection. Age of disease onset and the MIB-1 index of the tumor were both independent prognostic factors of clinical outcome.\n\nCopyright © 2014 Elsevier B.V. All rights reserved.","archive":"Crossref","citation-key":"wangSkullBaseAtypical2015","container-title":"Clinical Neurology and Neurosurgery","DOI":"10.1016/j.clineuro.2014.11.009","ISSN":"0303-8467","journalAbbreviation":"Clinical Neurology and Neurosurgery","language":"en","page":"112-116","title":"Skull base atypical meningioma: Long term surgical outcome and prognostic factors","volume":"128","author":[{"family":"Wang","given":"Yu-Chi"},{"family":"Chuang","given":"Chi-Cheng"},{"family":"Wei","given":"Kuo-Chen"},{"family":"Hsu","given":"Yung-Hsin"},{"family":"Hsu","given":"Peng-Wei"},{"family":"Lee","given":"Shih-Tseng"},{"family":"Wu","given":"Chieh-Tsai"},{"family":"Tseng","given":"Chen-Kan"},{"family":"Wang","given":"Chun-Chieh"},{"family":"Chen","given":"Yao-Liang"},{"family":"Jung","given":"Shih-Min"},{"family":"Chen","given":"Pin-Yuan"}],"issued":{"date-parts":[["2015",1]]}}},{"id":4831,"uris":["http://zotero.org/users/15552969/items/AHSPJY8H"],"itemData":{"id":4831,"type":"article-journal","abstract":"BACKGROUND\n\nCraniotomies carry inherent risks of postoperative complications that may have a negative impact on patients' status. Recognizing and\npreventing surgical complications is of paramount importance,\nespecially in meningioma surgery, where most of these tumors are\nbenign and current management protocols are effective in terms of disease control and maintenance of higher quality of life. The\nobjective of this study was to describe the early complications after surgery and their predictive factors in patients undergoing resection of intracranial meningiomas.\n\nMETHODS\n\nA partly retrospective, partly prospective review was conducted in a Norwegian population-based cohort of 1469 consecutive cases of\nmeningioma surgery treated at the university hospitals of Oslo,\ntotaling 11,414 patient-years of follow-up.\n\nRESULTS\n\n2.6% of patients had a postoperative hematoma, 2.7% a postoperative infection, 3.9% a postoperative worsening of neurologic status; 5.4% of patients died during a 30-day period after surgery. Predictive factors of increased risk of postoperative complications were\npatient's age for the hematoma, a non-skull base meningioma for\ninfection, and postoperative hematoma for the risk of neurologic\nworsening or 30-day mortality.\n\nCONCLUSIONS\n\nEarly postoperative complications in meningioma surgery have a\nnegative impact on patient survival and postoperative neurologic\nstatus, in a disease where survival is usually not limited by the meningioma itself. In this study, we identified risk factors for early postoperative complications, the identification of at-risk populations may help to prevent the occurrence of these risk factors.\n\nCopyright © 2019 Elsevier Inc. All rights reserved.","archive":"Crossref","citation-key":"lemeeEarlyPostoperativeComplications2019","container-title":"World Neurosurgery","DOI":"10.1016/j.wneu.2019.05.010","ISSN":"1878-8750","journalAbbreviation":"World Neurosurgery","language":"en","page":"e851-e858","title":"Early Postoperative Complications in Meningioma: Predictive Factors and Impact on Outcome","volume":"128","author":[{"family":"Lemée","given":"Jean-Michel"},{"family":"Corniola","given":"Marco V."},{"family":"Da Broi","given":"Michele"},{"family":"Schaller","given":"Karl"},{"family":"Meling","given":"Torstein R."}],"issued":{"date-parts":[["2019",8]]}}},{"id":3353,"uris":["http://zotero.org/users/15552969/items/MCVCUUQA"],"itemData":{"id":3353,"type":"article-journal","abstract":"Despite the importance of functional outcome, only a few scoring systems exist to predict neurologic outcome in meningioma surgery. Therefore, our study aims to identify preoperative risk factors and develop the receiver operating characteristics (ROC) models estimating the risk of a new postoperative neurologic deficit and a decrease in Karnofsky performance status (KPS). A multicentric study was conducted in a cohort of 552 consecutive patients with skull base meningiomas who underwent surgical resection from 2014 to 2019. Data were gathered from clinical, surgical, and pathology records as well as radiological diagnostics. The preoperative predictive factors of functional outcome (neurologic deficit, decrease in KPS) were analyzed in univariate and multivariate stepwise selection analyses. Permanent neurologic deficits were present in 73 (13.2%) patients and a postoperative decrease in KPS in 84 (15.2%). Surgery-related mortality was 1.3%. A ROC model was developed to estimate the probability of a new neurologic deficit (area 0.74; SE 0.0284; 95% Wald confidence limits (0.69; 0.80)) based on meningioma location and diameter. Consequently, a ROC model was developed to predict the probability of a postoperative decrease in KPS (area 0.80; SE 0.0289; 95% Wald confidence limits (0.74; 0.85)) based on the patient's age, meningioma location, diameter, presence of hyperostosis, and dural tail. To ensure an evidence-based therapeutic approach, treatment should be founded on known risk factors, scoring systems, and predictive models. We propose ROC models predicting the functional outcome of skull base meningioma resection based on the age of the patient, meningioma size, and location and the presence of hyperostosis and dural tail.","citation-key":"mayRoleRiskFactors2023","container-title":"Neurosurgical Review","DOI":"10.1007/s10143-023-02004-5","ISSN":"1437-2320","issue":"1","journalAbbreviation":"Neurosurg Rev","language":"eng","page":"124","PMID":"37219634","PMCID":"PMC10205827","source":"PubMed","title":"Role of risk factors, scoring systems, and prognostic models in predicting the functional outcome in meningioma surgery: multicentric study of 552 skull base meningiomas","title-short":"Role of risk factors, scoring systems, and prognostic models in predicting the functional outcome in meningioma surgery","volume":"46","author":[{"family":"May","given":"Michaela"},{"family":"Sedlak","given":"Vojtech"},{"family":"Pecen","given":"Ladislav"},{"family":"Priban","given":"Vladimir"},{"family":"Buchvald","given":"Pavel"},{"family":"Fiedler","given":"Jiri"},{"family":"Vaverka","given":"Miroslav"},{"family":"Lipina","given":"Radim"},{"family":"Reguli","given":"Stefan"},{"family":"Malik","given":"Jozef"},{"family":"Netuka","given":"David"},{"family":"Benes","given":"Vladimir"}],"issued":{"date-parts":[["2023",5,23]]}}},{"id":4883,"uris":["http://zotero.org/users/15552969/items/LBPSZCWL"],"itemData":{"id":4883,"type":"article-journal","citation-key":"bibaultBigDataMachine2016","container-title":"Cancer Letters","DOI":"10.1016/j.canlet.2016.05.033","ISSN":"03043835","issue":"1","journalAbbreviation":"Cancer Letters","language":"en","page":"110-117","source":"DOI.org (Crossref)","title":"Big Data and machine learning in radiation oncology: State of the art and future prospects","title-short":"Big Data and machine learning in radiation oncology","volume":"382","author":[{"family":"Bibault","given":"Jean-Emmanuel"},{"family":"Giraud","given":"Philippe"},{"family":"Burgun","given":"Anita"}],"issued":{"date-parts":[["2016",11]]}}},{"id":4825,"uris":["http://zotero.org/users/15552969/items/JL7U74L2"],"itemData":{"id":4825,"type":"article-journal","abstract":"We evaluated the health-related quality of life (QOL) of patients undergoing anterior skull base tumor resection. The Anterior Skull Base Surgery QOL questionnaire, a disease-specific multidimensional instrument dedicated to this population, was used to collect and\nprospectively analyze demographic, medical, and QOL data on 48\npatients. Thirty-nine patients completed the questionnaire\npreoperatively and at 6 and 12 months postoperatively. Seventeen\npatients (44%) had malignant histology and 22 (56%) had benign tumors. The overall QOL score decreased significantly at 6 months\npostoperatively (p &lt; 0.05) and improved significantly at 12 months postoperatively (p &lt; 0.04). The emotional domain improved\nsignificantly at 12 months postoperatively compared with the\npreoperative scores (p &lt; 0.03). Patients with malignant tumors had lower scores at 6 months postoperatively compared with patients with benign lesions (p &lt; 0.002), although the scores for both groups at 12 months postoperatively were similar. Adjuvant radiation therapy was associated with a poor QOL (p &lt; 0.005). The results of this\nprospective study show that the overall deteriorated QOL of patients after anterior skull base tumor resection returns to baseline by 1 year after surgery. Histology and radiotherapy are significant\npredictors of health-related QOL in this population.","archive":"Crossref","citation-key":"abergelProspectiveEvaluationShortTerm2010","container-title":"Skull Base","DOI":"10.1055/s-0029-1242982","ISSN":"1531-5010","issue":"01","journalAbbreviation":"Skull Base","language":"en","page":"027-033","title":"A Prospective Evaluation of Short-Term Health-Related Quality of Life in Patients Undergoing Anterior Skull Base Surgery","volume":"20","author":[{"family":"Abergel","given":"Abraham"},{"family":"Fliss","given":"Dan"},{"family":"Margalit","given":"Nevo"},{"family":"Gil","given":"Ziv"}],"issued":{"date-parts":[["2010",1]]}}},{"id":3352,"uris":["http://zotero.org/users/15552969/items/F49FNXFC"],"itemData":{"id":3352,"type":"article-journal","abstract":"OBJECTIVE: Patients with skull base meningioma (SBM) often require complex surgery around critical neurovascular structures, placing them at high risk of poor health-related quality of life (HRQOL) and possibly neurocognitive dysfunction. As the survival of meningioma patients is near normal, long-term neurocognitive and HRQOL outcomes are important to evaluate, including evaluation of the impact of specific tumor location and treatment modalities on these outcomes.\nMETHODS: In this multicenter cross-sectional study including patients 5 years or more after their last tumor intervention, Short-Form Health Survey (SF-36) and European Organisation for Research and Treatment of Cancer (EORTC) QLQ-BN20 questionnaires were used to assess generic and disease-specific HRQOL. Neurocognitive functioning was assessed with standardized neuropsychological assessment. SBM patient assessments were compared with those of 1) informal caregivers of SBM patients who served as controls and 2) convexity meningioma patients. In addition, the authors compared anterior/middle SBM patients with posterior SBM patients and anterior/middle and posterior SBM patients separately with controls. Multivariable and propensity score regression analyses were performed to correct for possible confounders.\nRESULTS: Patients with SBM (n = 89) with a median follow-up of 9 years after the last intervention did not significantly differ from controls (n = 65) or convexity meningioma patients (n = 84) on generic HRQOL assessment. Statistically significantly but not clinically relevantly better disease-specific HRQOL was found for SBM patients compared with convexity meningioma patients. Anterior/middle SBM patients (n = 62) had significantly and clinically relevantly better HRQOL in SF-36 and EORTC QLQ-BN20 scores than posterior SBM patients (n = 27): physical role functioning (corrected difference 17.1, 95% CI 0.2-34.0), motor dysfunction (-10.1, 95% CI -17.5 to -2.7), communication deficit (-14.2, 95% CI -22.7 to -5.6), and weakness in both legs (-10.1, 95% CI -18.8 to -1.5). SBM patients whose primary treatment was radiotherapy had lower HRQOL scores compared with SBM patients who underwent surgery on two domains: bodily pain (-33.0, 95% CI -55.2 to -10.9) and vitality (-18.9. 95% CI -33.7 to -4.1). Tumor location and treatment modality did not result in significant differences in neurocognitive functioning, although 44% of SBM patients had deficits in at least one domain.\nCONCLUSIONS: In the long term, SBM patients do not experience significantly more sequelae in HRQOL and neurocognitive functioning than do controls or patients with convexity meningioma. Patients with posterior SBM had poorer HRQOL than anterior/middle SBM patients, and primary treatment with radiotherapy was associated with worse HRQOL. Neurocognitive functioning was not affected by tumor location or treatment modality.","citation-key":"fisherLongtermHealthrelatedQuality2022","container-title":"Journal of Neurosurgery","DOI":"10.3171/2021.4.JNS203891","ISSN":"1933-0693","issue":"4","journalAbbreviation":"J Neurosurg","language":"eng","page":"1077-1089","PMID":"34598137","source":"PubMed","title":"Long-term health-related quality of life and neurocognitive functioning after treatment in skull base meningioma patients","volume":"136","author":[{"family":"Fisher","given":"Fleur L."},{"family":"Zamanipoor Najafabadi","given":"Amir H."},{"family":"Meer","given":"Pim B.","non-dropping-particle":"van der"},{"family":"Boele","given":"Florien W."},{"family":"Peerdeman","given":"Saskia M."},{"family":"Peul","given":"Wilco C."},{"family":"Taphoorn","given":"Martin J. B."},{"family":"Dirven","given":"Linda"},{"family":"Furth","given":"Wouter R.","non-dropping-particle":"van"}],"issued":{"date-parts":[["2022",4,1]]}}}],"schema":"https://github.com/citation-style-language/schema/raw/master/csl-citation.json"} </w:instrText>
      </w:r>
      <w:r w:rsidR="00273CB2">
        <w:rPr>
          <w:rFonts w:ascii="Palatino Linotype" w:eastAsia="Palatino Linotype" w:hAnsi="Palatino Linotype" w:cs="Palatino Linotype"/>
          <w:color w:val="000000"/>
          <w:sz w:val="20"/>
          <w:szCs w:val="20"/>
        </w:rPr>
        <w:fldChar w:fldCharType="separate"/>
      </w:r>
      <w:r w:rsidR="0047428E" w:rsidRPr="0047428E">
        <w:rPr>
          <w:rFonts w:ascii="Palatino Linotype" w:hAnsi="Palatino Linotype"/>
          <w:color w:val="000000"/>
          <w:sz w:val="20"/>
          <w:vertAlign w:val="superscript"/>
        </w:rPr>
        <w:t>2,6,13,16–18</w:t>
      </w:r>
      <w:r w:rsidR="00273CB2">
        <w:rPr>
          <w:rFonts w:ascii="Palatino Linotype" w:eastAsia="Palatino Linotype" w:hAnsi="Palatino Linotype" w:cs="Palatino Linotype"/>
          <w:color w:val="000000"/>
          <w:sz w:val="20"/>
          <w:szCs w:val="20"/>
        </w:rPr>
        <w:fldChar w:fldCharType="end"/>
      </w:r>
      <w:r w:rsidR="00342ECF">
        <w:rPr>
          <w:rFonts w:ascii="Palatino Linotype" w:eastAsia="Palatino Linotype" w:hAnsi="Palatino Linotype" w:cs="Palatino Linotype"/>
          <w:color w:val="000000"/>
          <w:sz w:val="20"/>
          <w:szCs w:val="20"/>
        </w:rPr>
        <w:t xml:space="preserve"> </w:t>
      </w:r>
      <w:r w:rsidR="00273CB2">
        <w:rPr>
          <w:rFonts w:ascii="Palatino Linotype" w:eastAsia="Palatino Linotype" w:hAnsi="Palatino Linotype" w:cs="Palatino Linotype"/>
          <w:color w:val="000000"/>
          <w:sz w:val="20"/>
          <w:szCs w:val="20"/>
        </w:rPr>
        <w:t>In contrast, machine learning (ML) analysis utilizes a variety of computational algorithms to discern patterns within large and complex datasets, excelling in managing extensive numbers of variables in intricate and nonlinear manners to produce advanced predictions.</w:t>
      </w:r>
      <w:r w:rsidR="00273CB2">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{"citationID":"yXjR9aYH","properties":{"formattedCitation":"\\super 19,20\\nosupersub{}","plainCitation":"19,20","noteIndex":0},"citationItems":[{"id":4884,"uris":["http://zotero.org/users/15552969/items/VNT8ZXVK"],"itemData":{"id":4884,"type":"book","citation-key":"hastieElementsStatisticalLearning2009","collection-title":"Springer Series in Statistics","DOI":"10.1007/978-0-387-84858-7","ISBN":"978-0-387-84857-0","license":"http://www.springer.com/tdm","publisher":"Springer New York","publisher-place":"New York, NY","source":"DOI.org (Crossref)","title":"The Elements of Statistical Learning","URL":"http://link.springer.com/10.1007/978-0-387-84858-7","author":[{"family":"Hastie","given":"Trevor"},{"family":"Tibshirani","given":"Robert"},{"family":"Friedman","given":"Jerome"}],"accessed":{"date-parts":[["2025",11,12]]},"issued":{"date-parts":[["2009"]]}}},{"id":4885,"uris":["http://zotero.org/users/15552969/items/U9FT4LQ6"],"itemData":{"id":4885,"type":"article-journal","citation-key":"obermeyerPredictingFutureBig2016","container-title":"The New England Journal of Medicine","DOI":"10.1056/NEJMp1606181","ISSN":"1533-4406","issue":"13","journalAbbreviation":"N Engl J Med","language":"eng","page":"1216-1219","PMID":"27682033","PMCID":"PMC5070532","source":"PubMed","title":"Predicting the Future - Big Data, Machine Learning, and Clinical Medicine","volume":"375","author":[{"family":"Obermeyer","given":"Ziad"},{"family":"Emanuel","given":"Ezekiel J."}],"issued":{"date-parts":[["2016",9,29]]}}}],"schema":"https://github.com/citation-style-language/schema/raw/master/csl-citation.json"} </w:instrText>
      </w:r>
      <w:r w:rsidR="00273CB2">
        <w:rPr>
          <w:rFonts w:ascii="Palatino Linotype" w:eastAsia="Palatino Linotype" w:hAnsi="Palatino Linotype" w:cs="Palatino Linotype"/>
          <w:color w:val="000000"/>
          <w:sz w:val="20"/>
          <w:szCs w:val="20"/>
        </w:rPr>
        <w:fldChar w:fldCharType="separate"/>
      </w:r>
      <w:r w:rsidR="0047428E" w:rsidRPr="0047428E">
        <w:rPr>
          <w:rFonts w:ascii="Palatino Linotype" w:hAnsi="Palatino Linotype"/>
          <w:color w:val="000000"/>
          <w:sz w:val="20"/>
          <w:vertAlign w:val="superscript"/>
        </w:rPr>
        <w:t>19,20</w:t>
      </w:r>
      <w:r w:rsidR="00273CB2">
        <w:rPr>
          <w:rFonts w:ascii="Palatino Linotype" w:eastAsia="Palatino Linotype" w:hAnsi="Palatino Linotype" w:cs="Palatino Linotype"/>
          <w:color w:val="000000"/>
          <w:sz w:val="20"/>
          <w:szCs w:val="20"/>
        </w:rPr>
        <w:fldChar w:fldCharType="end"/>
      </w:r>
      <w:r w:rsidR="00342ECF">
        <w:rPr>
          <w:rFonts w:ascii="Palatino Linotype" w:eastAsia="Palatino Linotype" w:hAnsi="Palatino Linotype" w:cs="Palatino Linotype"/>
          <w:color w:val="000000"/>
          <w:sz w:val="20"/>
          <w:szCs w:val="20"/>
        </w:rPr>
        <w:t xml:space="preserve"> </w:t>
      </w:r>
      <w:r w:rsidR="00273CB2">
        <w:rPr>
          <w:rFonts w:ascii="Palatino Linotype" w:eastAsia="Palatino Linotype" w:hAnsi="Palatino Linotype" w:cs="Palatino Linotype"/>
          <w:color w:val="000000"/>
          <w:sz w:val="20"/>
          <w:szCs w:val="20"/>
        </w:rPr>
        <w:t>Given the complex, nonlinear, and interactive effects among clinical, radiological, and surgical variables characteristic of skull base conditions, some researchers have posited that ML algorithms may be more adept at predicting patient outcomes.</w:t>
      </w:r>
      <w:r w:rsidR="00273CB2">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{"citationID":"i9d73Fry","properties":{"formattedCitation":"\\super 14,21\\nosupersub{}","plainCitation":"14,21","noteIndex":0},"citationItems":[{"id":4852,"uris":["http://zotero.org/users/15552969/items/PBBI65RB","http://zotero.org/users/15552969/items/IKTJMPDP"],"itemData":{"id":4852,"type":"article-journal","citation-key":"muhlesteinImpactPresurgicalComorbidities2017","container-title":"Surgical Neurology International","DOI":"10.4103/sni.sni_54_17","ISSN":"2152-7806","issue":"1","journalAbbreviation":"Surg Neurol Int","language":"en","page":"220","source":"DOI.org (Crossref)","title":"The impact of presurgical comorbidities on discharge disposition and length of hospitalization following craniotomy for brain tumor","volume":"8","author":[{"family":"Muhlestein","given":"WhitneyE"},{"family":"Akagi","given":"DallinS"},{"family":"Chotai","given":"Silky"},{"family":"Chambless","given":"LolaB"}],"issued":{"date-parts":[["2017"]]}}},{"id":3349,"uris":["http://zotero.org/users/15552969/items/JT8659A2"],"itemData":{"id":3349,"type":"article-journal","abstract":"Objective  While predictive analytic techniques have been used to analyze meningioma postoperative outcomes, to our knowledge, there have been no studies that have investigated the utility of machine learning (ML) models in prognosticating outcomes among skull base meningioma patients. The present study aimed to develop models for predicting postoperative outcomes among skull base meningioma patients, specifically prolonged hospital length of stay (LOS), nonroutine discharge disposition, and high hospital charges. We also validated the predictive performance of our models on out-of-sample testing data. Methods  Patients who underwent skull base meningioma surgery between 2016 and 2019 at an academic institution were included in our study. Prolonged hospital LOS and high hospital charges were defined as &gt;4 days and &gt;$47,887, respectively. Elastic net logistic regression algorithms were trained to predict postoperative outcomes using 70% of available data, and their predictive performance was evaluated on the remaining 30%. Results  A total of 265 patients were included in our final analysis. Our cohort was majority female (77.7%) and Caucasian (63.4%). Elastic net logistic regression algorithms predicting prolonged LOS, nonroutine discharge, and high hospital charges achieved areas under the receiver operating characteristic curve of 0.798, 0.752, and 0.592, respectively. Further, all models were adequately calibrated as determined by the Spiegelhalter Z -test ( p &gt;0.05). Conclusion  Our study developed models predicting prolonged hospital LOS, nonroutine discharge disposition, and high hospital charges among skull base meningioma patients. Our models highlight the utility of ML as a tool to aid skull base surgeons in providing high-value health care and optimizing clinical workflows.","citation-key":"jimenezMachineLearningModels2022","container-title":"Journal of Neurological Surgery. Part B, Skull Base","DOI":"10.1055/a-1885-1447","ISSN":"2193-6331","issue":"6","journalAbbreviation":"J Neurol Surg B Skull Base","language":"eng","page":"635-645","PMID":"36393884","PMCID":"PMC9653296","source":"PubMed","title":"Machine Learning Models for Predicting Postoperative Outcomes following Skull Base Meningioma Surgery","volume":"83","author":[{"family":"Jimenez","given":"Adrian E."},{"family":"Porras","given":"Jose L."},{"family":"Azad","given":"Tej D."},{"family":"Shah","given":"Pavan P."},{"family":"Jackson","given":"Christopher M."},{"family":"Gallia","given":"Gary"},{"family":"Bettegowda","given":"Chetan"},{"family":"Weingart","given":"Jon"},{"family":"Mukherjee","given":"Debraj"}],"issued":{"date-parts":[["2022",12]]}}}],"schema":"https://github.com/citation-style-language/schema/raw/master/csl-citation.json"} </w:instrText>
      </w:r>
      <w:r w:rsidR="00273CB2">
        <w:rPr>
          <w:rFonts w:ascii="Palatino Linotype" w:eastAsia="Palatino Linotype" w:hAnsi="Palatino Linotype" w:cs="Palatino Linotype"/>
          <w:color w:val="000000"/>
          <w:sz w:val="20"/>
          <w:szCs w:val="20"/>
        </w:rPr>
        <w:fldChar w:fldCharType="separate"/>
      </w:r>
      <w:r w:rsidR="0047428E" w:rsidRPr="0047428E">
        <w:rPr>
          <w:rFonts w:ascii="Palatino Linotype" w:hAnsi="Palatino Linotype"/>
          <w:color w:val="000000"/>
          <w:sz w:val="20"/>
          <w:vertAlign w:val="superscript"/>
        </w:rPr>
        <w:t>14,21</w:t>
      </w:r>
      <w:r w:rsidR="00273CB2">
        <w:rPr>
          <w:rFonts w:ascii="Palatino Linotype" w:eastAsia="Palatino Linotype" w:hAnsi="Palatino Linotype" w:cs="Palatino Linotype"/>
          <w:color w:val="000000"/>
          <w:sz w:val="20"/>
          <w:szCs w:val="20"/>
        </w:rPr>
        <w:fldChar w:fldCharType="end"/>
      </w:r>
    </w:p>
    <w:p w14:paraId="41736D5E" w14:textId="77777777" w:rsidR="00AB700A" w:rsidRDefault="00AB700A" w:rsidP="005522AE">
      <w:pPr>
        <w:pBdr>
          <w:top w:val="nil"/>
          <w:left w:val="nil"/>
          <w:bottom w:val="nil"/>
          <w:right w:val="nil"/>
          <w:between w:val="nil"/>
        </w:pBdr>
        <w:spacing w:line="360" w:lineRule="auto"/>
        <w:ind w:firstLine="360"/>
        <w:jc w:val="both"/>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 xml:space="preserve">In the present study, we sought to explore this approach in an SBM cohort. We defined four clinical outcomes: </w:t>
      </w:r>
      <w:r w:rsidRPr="004C31FC">
        <w:rPr>
          <w:rFonts w:ascii="Palatino Linotype" w:eastAsia="Palatino Linotype" w:hAnsi="Palatino Linotype" w:cs="Palatino Linotype"/>
          <w:color w:val="000000"/>
          <w:sz w:val="20"/>
          <w:szCs w:val="20"/>
        </w:rPr>
        <w:t>new neurologic deficit</w:t>
      </w:r>
      <w:r>
        <w:rPr>
          <w:rFonts w:ascii="Palatino Linotype" w:eastAsia="Palatino Linotype" w:hAnsi="Palatino Linotype" w:cs="Palatino Linotype"/>
          <w:color w:val="000000"/>
          <w:sz w:val="20"/>
          <w:szCs w:val="20"/>
        </w:rPr>
        <w:t xml:space="preserve">, decrease in KPS at </w:t>
      </w:r>
      <w:r w:rsidRPr="00D244A5">
        <w:rPr>
          <w:rFonts w:ascii="Palatino Linotype" w:eastAsia="Palatino Linotype" w:hAnsi="Palatino Linotype" w:cs="Palatino Linotype"/>
          <w:color w:val="000000"/>
          <w:sz w:val="20"/>
          <w:szCs w:val="20"/>
        </w:rPr>
        <w:t>discharge</w:t>
      </w:r>
      <w:r>
        <w:rPr>
          <w:rFonts w:ascii="Palatino Linotype" w:eastAsia="Palatino Linotype" w:hAnsi="Palatino Linotype" w:cs="Palatino Linotype"/>
          <w:color w:val="000000"/>
          <w:sz w:val="20"/>
          <w:szCs w:val="20"/>
        </w:rPr>
        <w:t xml:space="preserve">, </w:t>
      </w:r>
      <w:r w:rsidRPr="00952105">
        <w:rPr>
          <w:rFonts w:ascii="Palatino Linotype" w:eastAsia="Palatino Linotype" w:hAnsi="Palatino Linotype" w:cs="Palatino Linotype"/>
          <w:color w:val="000000"/>
          <w:sz w:val="20"/>
          <w:szCs w:val="20"/>
        </w:rPr>
        <w:t xml:space="preserve">prolonged </w:t>
      </w:r>
      <w:r w:rsidRPr="009A15C3">
        <w:rPr>
          <w:rFonts w:ascii="Palatino Linotype" w:eastAsia="Palatino Linotype" w:hAnsi="Palatino Linotype" w:cs="Palatino Linotype"/>
          <w:color w:val="000000"/>
          <w:sz w:val="20"/>
          <w:szCs w:val="20"/>
        </w:rPr>
        <w:t xml:space="preserve">hospital length of stay (LOS &gt; </w:t>
      </w:r>
      <w:r>
        <w:rPr>
          <w:rFonts w:ascii="Palatino Linotype" w:eastAsia="Palatino Linotype" w:hAnsi="Palatino Linotype" w:cs="Palatino Linotype"/>
          <w:color w:val="000000"/>
          <w:sz w:val="20"/>
          <w:szCs w:val="20"/>
        </w:rPr>
        <w:t>4</w:t>
      </w:r>
      <w:r w:rsidRPr="009A15C3">
        <w:rPr>
          <w:rFonts w:ascii="Palatino Linotype" w:eastAsia="Palatino Linotype" w:hAnsi="Palatino Linotype" w:cs="Palatino Linotype"/>
          <w:color w:val="000000"/>
          <w:sz w:val="20"/>
          <w:szCs w:val="20"/>
        </w:rPr>
        <w:t xml:space="preserve"> days)</w:t>
      </w:r>
      <w:r>
        <w:rPr>
          <w:rFonts w:ascii="Palatino Linotype" w:eastAsia="Palatino Linotype" w:hAnsi="Palatino Linotype" w:cs="Palatino Linotype"/>
          <w:color w:val="000000"/>
          <w:sz w:val="20"/>
          <w:szCs w:val="20"/>
        </w:rPr>
        <w:t xml:space="preserve"> and 30-days complications. Each endpoint was examined in two phases—initially employing preoperative variables exclusively, followed by a combination of pre- and intraoperative predictors to evaluate the additional prognostic value of surgical findings. Consequently, two tiers of models were constructed: a </w:t>
      </w:r>
      <w:r w:rsidRPr="000B75F3">
        <w:rPr>
          <w:rFonts w:ascii="Palatino Linotype" w:eastAsia="Palatino Linotype" w:hAnsi="Palatino Linotype" w:cs="Palatino Linotype"/>
          <w:color w:val="000000"/>
          <w:sz w:val="20"/>
          <w:szCs w:val="20"/>
        </w:rPr>
        <w:t>preoperative</w:t>
      </w:r>
      <w:r>
        <w:rPr>
          <w:rFonts w:ascii="Palatino Linotype" w:eastAsia="Palatino Linotype" w:hAnsi="Palatino Linotype" w:cs="Palatino Linotype"/>
          <w:color w:val="000000"/>
          <w:sz w:val="20"/>
          <w:szCs w:val="20"/>
        </w:rPr>
        <w:t xml:space="preserve"> model for risk estimation prior to surgery and a </w:t>
      </w:r>
      <w:r w:rsidRPr="000B75F3">
        <w:rPr>
          <w:rFonts w:ascii="Palatino Linotype" w:eastAsia="Palatino Linotype" w:hAnsi="Palatino Linotype" w:cs="Palatino Linotype"/>
          <w:color w:val="000000"/>
          <w:sz w:val="20"/>
          <w:szCs w:val="20"/>
        </w:rPr>
        <w:t>comprehensive</w:t>
      </w:r>
      <w:r>
        <w:rPr>
          <w:rFonts w:ascii="Palatino Linotype" w:eastAsia="Palatino Linotype" w:hAnsi="Palatino Linotype" w:cs="Palatino Linotype"/>
          <w:color w:val="000000"/>
          <w:sz w:val="20"/>
          <w:szCs w:val="20"/>
        </w:rPr>
        <w:t xml:space="preserve"> model incorporating intraoperative data. Collectively, these frameworks aim to enhance surgical decision-making, facilitate transparent patient counseling, and inform evidence-based allocation of postoperative care resources.</w:t>
      </w:r>
    </w:p>
    <w:bookmarkEnd w:id="2"/>
    <w:p w14:paraId="04378D6A" w14:textId="77777777" w:rsidR="00AB700A" w:rsidRPr="00D244A5" w:rsidRDefault="00AB700A" w:rsidP="0000176F">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6238BBF3" w14:textId="77777777" w:rsidR="00AB700A" w:rsidRPr="00D244A5" w:rsidRDefault="00AB700A" w:rsidP="00F055D8">
      <w:pPr>
        <w:pBdr>
          <w:top w:val="nil"/>
          <w:left w:val="nil"/>
          <w:bottom w:val="nil"/>
          <w:right w:val="nil"/>
          <w:between w:val="nil"/>
        </w:pBdr>
        <w:spacing w:before="240" w:after="60" w:line="360" w:lineRule="auto"/>
        <w:jc w:val="both"/>
        <w:rPr>
          <w:rFonts w:ascii="Palatino Linotype" w:eastAsia="Palatino Linotype" w:hAnsi="Palatino Linotype" w:cs="Palatino Linotype"/>
          <w:b/>
          <w:color w:val="000000"/>
        </w:rPr>
      </w:pPr>
      <w:r w:rsidRPr="00D244A5">
        <w:rPr>
          <w:rFonts w:ascii="Palatino Linotype" w:eastAsia="Palatino Linotype" w:hAnsi="Palatino Linotype" w:cs="Palatino Linotype"/>
          <w:b/>
          <w:color w:val="000000"/>
        </w:rPr>
        <w:t>Materials and Methods</w:t>
      </w:r>
    </w:p>
    <w:p w14:paraId="358F4C12" w14:textId="77777777" w:rsidR="00AB700A" w:rsidRPr="00D244A5" w:rsidRDefault="00AB700A" w:rsidP="00F055D8">
      <w:pPr>
        <w:spacing w:line="360" w:lineRule="auto"/>
        <w:jc w:val="both"/>
        <w:rPr>
          <w:rFonts w:ascii="Palatino Linotype" w:eastAsia="Palatino Linotype" w:hAnsi="Palatino Linotype" w:cs="Palatino Linotype"/>
          <w:b/>
          <w:color w:val="000000"/>
          <w:sz w:val="20"/>
          <w:szCs w:val="20"/>
        </w:rPr>
      </w:pPr>
      <w:r w:rsidRPr="00D244A5">
        <w:rPr>
          <w:rFonts w:ascii="Palatino Linotype" w:eastAsia="Palatino Linotype" w:hAnsi="Palatino Linotype" w:cs="Palatino Linotype"/>
          <w:b/>
          <w:color w:val="000000"/>
          <w:sz w:val="20"/>
          <w:szCs w:val="20"/>
        </w:rPr>
        <w:t>Study Design and Setting</w:t>
      </w:r>
    </w:p>
    <w:p w14:paraId="55660C81" w14:textId="239F8F11" w:rsidR="00AB700A" w:rsidRPr="006A14C3" w:rsidRDefault="00AB700A" w:rsidP="00B844C7">
      <w:pPr>
        <w:pStyle w:val="MDPI31text"/>
        <w:spacing w:line="360" w:lineRule="auto"/>
        <w:ind w:left="0" w:firstLine="0"/>
        <w:rPr>
          <w:rFonts w:eastAsia="Palatino Linotype" w:cs="Palatino Linotype"/>
          <w:szCs w:val="20"/>
        </w:rPr>
      </w:pPr>
      <w:r w:rsidRPr="00D244A5">
        <w:rPr>
          <w:rFonts w:eastAsia="Palatino Linotype" w:cs="Palatino Linotype"/>
          <w:szCs w:val="20"/>
        </w:rPr>
        <w:t xml:space="preserve">The present study was conducted using data from </w:t>
      </w:r>
      <w:r w:rsidR="006A14C3">
        <w:rPr>
          <w:rFonts w:eastAsia="Palatino Linotype" w:cs="Palatino Linotype"/>
          <w:szCs w:val="20"/>
        </w:rPr>
        <w:t>731</w:t>
      </w:r>
      <w:r w:rsidRPr="00D244A5">
        <w:rPr>
          <w:rFonts w:eastAsia="Palatino Linotype" w:cs="Palatino Linotype"/>
          <w:szCs w:val="20"/>
        </w:rPr>
        <w:t xml:space="preserve"> patients who underwent </w:t>
      </w:r>
      <w:r w:rsidR="006A14C3" w:rsidRPr="00F94B9E">
        <w:rPr>
          <w:rFonts w:eastAsia="Palatino Linotype" w:cs="Palatino Linotype"/>
          <w:szCs w:val="20"/>
        </w:rPr>
        <w:t xml:space="preserve">first-time </w:t>
      </w:r>
      <w:r w:rsidRPr="00D244A5">
        <w:rPr>
          <w:rFonts w:eastAsia="Palatino Linotype" w:cs="Palatino Linotype"/>
          <w:szCs w:val="20"/>
        </w:rPr>
        <w:t xml:space="preserve">surgical resection of SBMs </w:t>
      </w:r>
      <w:r w:rsidR="006A14C3">
        <w:rPr>
          <w:rFonts w:eastAsia="Palatino Linotype" w:cs="Palatino Linotype"/>
          <w:szCs w:val="20"/>
        </w:rPr>
        <w:t>in four centers (</w:t>
      </w:r>
      <w:r w:rsidRPr="00D244A5">
        <w:rPr>
          <w:rFonts w:eastAsia="Palatino Linotype" w:cs="Palatino Linotype"/>
          <w:szCs w:val="20"/>
        </w:rPr>
        <w:t>Bologna</w:t>
      </w:r>
      <w:r w:rsidR="006A14C3">
        <w:rPr>
          <w:rFonts w:eastAsia="Palatino Linotype" w:cs="Palatino Linotype"/>
          <w:szCs w:val="20"/>
        </w:rPr>
        <w:t xml:space="preserve">, </w:t>
      </w:r>
      <w:r w:rsidR="006A14C3" w:rsidRPr="00F94B9E">
        <w:rPr>
          <w:rFonts w:eastAsia="Palatino Linotype" w:cs="Palatino Linotype"/>
          <w:szCs w:val="20"/>
        </w:rPr>
        <w:t>Cesena, Liverpool, and Nanjing)</w:t>
      </w:r>
      <w:r w:rsidRPr="00D244A5">
        <w:rPr>
          <w:rFonts w:eastAsia="Palatino Linotype" w:cs="Palatino Linotype"/>
          <w:szCs w:val="20"/>
        </w:rPr>
        <w:t xml:space="preserve"> between April 2010 and July 2024. The </w:t>
      </w:r>
      <w:r w:rsidRPr="00D244A5">
        <w:rPr>
          <w:rFonts w:eastAsia="Palatino Linotype" w:cs="Palatino Linotype"/>
          <w:szCs w:val="20"/>
        </w:rPr>
        <w:lastRenderedPageBreak/>
        <w:t>study protocol was approved by the local Institutional Review Board of the IRCCS Institute of Neurological Sciences of Bologna (protocol code: [insert]; approval date: [insert]) and adhered to the 1964 Helsinki Declaration and its later amendments or comparable ethical standards. All data were anonymized in compliance with the national data protection regulations. Given the retrospective nature of this study, the need</w:t>
      </w:r>
      <w:r w:rsidR="00E6794D" w:rsidRPr="00B844C7">
        <w:t xml:space="preserve"> for informed consent was waived. </w:t>
      </w:r>
    </w:p>
    <w:p w14:paraId="46FA9305"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15E6FEB6" w14:textId="77777777" w:rsidR="00AB700A" w:rsidRPr="00D244A5" w:rsidRDefault="00AB700A" w:rsidP="00F055D8">
      <w:pPr>
        <w:spacing w:line="360" w:lineRule="auto"/>
        <w:jc w:val="both"/>
        <w:rPr>
          <w:rFonts w:ascii="Palatino Linotype" w:eastAsia="Palatino Linotype" w:hAnsi="Palatino Linotype" w:cs="Palatino Linotype"/>
          <w:b/>
          <w:color w:val="000000"/>
          <w:sz w:val="20"/>
          <w:szCs w:val="20"/>
        </w:rPr>
      </w:pPr>
      <w:r w:rsidRPr="00D244A5">
        <w:rPr>
          <w:rFonts w:ascii="Palatino Linotype" w:eastAsia="Palatino Linotype" w:hAnsi="Palatino Linotype" w:cs="Palatino Linotype"/>
          <w:b/>
          <w:color w:val="000000"/>
          <w:sz w:val="20"/>
          <w:szCs w:val="20"/>
        </w:rPr>
        <w:t>Eligibility criteria</w:t>
      </w:r>
    </w:p>
    <w:p w14:paraId="59C64210" w14:textId="2C6E2154" w:rsidR="00AB700A" w:rsidRPr="00D244A5" w:rsidRDefault="00AB700A" w:rsidP="00861CD5">
      <w:pPr>
        <w:pStyle w:val="MDPI31text"/>
        <w:spacing w:line="360" w:lineRule="auto"/>
        <w:ind w:left="0" w:firstLine="0"/>
        <w:rPr>
          <w:rFonts w:eastAsia="Palatino Linotype" w:cs="Palatino Linotype"/>
          <w:szCs w:val="20"/>
        </w:rPr>
      </w:pPr>
      <w:r w:rsidRPr="00D244A5">
        <w:rPr>
          <w:rFonts w:eastAsia="Palatino Linotype" w:cs="Palatino Linotype"/>
          <w:szCs w:val="20"/>
        </w:rPr>
        <w:t>Eligible participants comprised adult patients (aged ≥18 years) who underwent initial microsurgical resection of skull base meningiomas (SBM) confirmed through histopathological analysis, as per the World Health Organization (WHO) 2021 criteria</w:t>
      </w:r>
      <w:r w:rsidR="0047428E" w:rsidRPr="0047428E">
        <w:rPr>
          <w:vertAlign w:val="superscript"/>
        </w:rPr>
        <w:t>22</w:t>
      </w:r>
      <w:r w:rsidRPr="00D244A5">
        <w:rPr>
          <w:rFonts w:eastAsia="Palatino Linotype" w:cs="Palatino Linotype"/>
          <w:szCs w:val="20"/>
        </w:rPr>
        <w:t>. The inclusion criteria also necessitated a preoperative MRI conducted within 8 weeks prior to surgery (with T1-post-contrast being mandatory and T2 and/or FLAIR recommended), along with a minimum clinical follow-up duration of 12 months. Patients were excluded if they presented with non–skull base locations (as per Al-Mefty’s anatomical classification system)</w:t>
      </w:r>
      <w:r w:rsidR="0047428E" w:rsidRPr="0047428E">
        <w:rPr>
          <w:vertAlign w:val="superscript"/>
        </w:rPr>
        <w:t>23</w:t>
      </w:r>
      <w:r w:rsidRPr="00D244A5">
        <w:rPr>
          <w:rFonts w:eastAsia="Palatino Linotype" w:cs="Palatino Linotype"/>
          <w:szCs w:val="20"/>
        </w:rPr>
        <w:t>, alternative histopathological diagnoses, underwent redo surgeries at the index operation, or had missing essential imaging or outcome data.</w:t>
      </w:r>
    </w:p>
    <w:p w14:paraId="25E157A0" w14:textId="77777777" w:rsidR="00AB700A" w:rsidRPr="00D244A5" w:rsidRDefault="00AB700A" w:rsidP="00F055D8">
      <w:pPr>
        <w:pStyle w:val="MDPI31text"/>
        <w:spacing w:line="360" w:lineRule="auto"/>
        <w:ind w:left="0" w:firstLine="0"/>
        <w:rPr>
          <w:rFonts w:eastAsia="Palatino Linotype" w:cs="Palatino Linotype"/>
          <w:szCs w:val="20"/>
        </w:rPr>
      </w:pPr>
    </w:p>
    <w:p w14:paraId="50EB599C" w14:textId="77777777" w:rsidR="00AB700A" w:rsidRPr="00D244A5" w:rsidRDefault="00AB700A" w:rsidP="00F055D8">
      <w:pPr>
        <w:spacing w:line="360" w:lineRule="auto"/>
        <w:jc w:val="both"/>
        <w:rPr>
          <w:rFonts w:ascii="Palatino Linotype" w:eastAsia="Palatino Linotype" w:hAnsi="Palatino Linotype" w:cs="Palatino Linotype"/>
          <w:b/>
          <w:color w:val="000000"/>
          <w:sz w:val="20"/>
          <w:szCs w:val="20"/>
        </w:rPr>
      </w:pPr>
      <w:r w:rsidRPr="00D244A5">
        <w:rPr>
          <w:rFonts w:ascii="Palatino Linotype" w:eastAsia="Palatino Linotype" w:hAnsi="Palatino Linotype" w:cs="Palatino Linotype"/>
          <w:b/>
          <w:color w:val="000000"/>
          <w:sz w:val="20"/>
          <w:szCs w:val="20"/>
        </w:rPr>
        <w:t>Data Collection and Variables</w:t>
      </w:r>
    </w:p>
    <w:p w14:paraId="6FD99042"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 xml:space="preserve">Data were collected using Microsoft Excel (version 2016; Microsoft Corp.). Clinical and radiological data were obtained from institutional electronic health records, operative notes, and neuroimaging repositories. To verify the accuracy and consistency, data collection was conducted by a single investigator, with two independent investigators cross-checking 10% of the entries. </w:t>
      </w:r>
    </w:p>
    <w:p w14:paraId="088024F9"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 xml:space="preserve">The following information was included in the database. </w:t>
      </w:r>
    </w:p>
    <w:p w14:paraId="371714A3" w14:textId="77777777" w:rsidR="00AB700A" w:rsidRPr="00D244A5" w:rsidRDefault="00AB700A" w:rsidP="00F055D8">
      <w:pPr>
        <w:pStyle w:val="ListParagraph"/>
        <w:numPr>
          <w:ilvl w:val="0"/>
          <w:numId w:val="33"/>
        </w:num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General characteristics: patient age, sex, date of birth, and date of resection.</w:t>
      </w:r>
    </w:p>
    <w:p w14:paraId="0B7F8331" w14:textId="76EFF5F4" w:rsidR="00AB700A" w:rsidRPr="00D244A5" w:rsidRDefault="00AB700A" w:rsidP="00F055D8">
      <w:pPr>
        <w:pStyle w:val="ListParagraph"/>
        <w:numPr>
          <w:ilvl w:val="0"/>
          <w:numId w:val="33"/>
        </w:num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Preoperative status: comorbidities, clinical presentation, American Society of Anesthesiologists physical status classification system (ASA)</w:t>
      </w:r>
      <w:r w:rsidRPr="00D244A5">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{"citationID":"mYk7C7Rk","properties":{"formattedCitation":"\\super 22\\nosupersub{}","plainCitation":"22","noteIndex":0},"citationItems":[{"id":4842,"uris":["http://zotero.org/users/15552969/items/UDKKEV7C"],"itemData":{"id":4842,"type":"article-journal","abstract":"Although the American Society of Anaesthesiologists' (ASA) classification of Physical Health is a widely used grading system for preoperative health of the surgical patients, multiple variations were observed between individual anaesthetist's assessments when describing common clinical problems. This article reviews the current knowledge and evaluation regarding ASA Classification of Physical Health as well as trials for possible modification.","citation-key":"daabissAmericanSocietyAnaesthesiologists2011","container-title":"Indian Journal of Anaesthesia","DOI":"10.4103/0019-5049.79879","ISSN":"0976-2817","issue":"2","journalAbbreviation":"Indian J Anaesth","language":"eng","page":"111-115","PMID":"21712864","PMCID":"PMC3106380","source":"PubMed","title":"American Society of Anaesthesiologists physical status classification","volume":"55","author":[{"family":"Daabiss","given":"Mohamed"}],"issued":{"date-parts":[["2011",3]]}}}],"schema":"https://github.com/citation-style-language/schema/raw/master/csl-citation.json"} </w:instrText>
      </w:r>
      <w:r w:rsidRPr="00D244A5">
        <w:rPr>
          <w:rFonts w:ascii="Palatino Linotype" w:eastAsia="Palatino Linotype" w:hAnsi="Palatino Linotype" w:cs="Palatino Linotype"/>
          <w:color w:val="000000"/>
          <w:sz w:val="20"/>
          <w:szCs w:val="20"/>
        </w:rPr>
        <w:fldChar w:fldCharType="separate"/>
      </w:r>
      <w:r w:rsidR="00943DE9" w:rsidRPr="00943DE9">
        <w:rPr>
          <w:rFonts w:ascii="Palatino Linotype" w:hAnsi="Palatino Linotype"/>
          <w:color w:val="000000"/>
          <w:sz w:val="20"/>
          <w:vertAlign w:val="superscript"/>
        </w:rPr>
        <w:t>22</w:t>
      </w:r>
      <w:r w:rsidRPr="00D244A5">
        <w:rPr>
          <w:rFonts w:ascii="Palatino Linotype" w:eastAsia="Palatino Linotype" w:hAnsi="Palatino Linotype" w:cs="Palatino Linotype"/>
          <w:color w:val="000000"/>
          <w:sz w:val="20"/>
          <w:szCs w:val="20"/>
        </w:rPr>
        <w:fldChar w:fldCharType="end"/>
      </w:r>
      <w:r w:rsidRPr="00D244A5">
        <w:rPr>
          <w:rFonts w:ascii="Palatino Linotype" w:eastAsia="Palatino Linotype" w:hAnsi="Palatino Linotype" w:cs="Palatino Linotype"/>
          <w:color w:val="000000"/>
          <w:sz w:val="20"/>
          <w:szCs w:val="20"/>
        </w:rPr>
        <w:t>, and preoperative Karnofsky Performance Status (KPS)</w:t>
      </w:r>
      <w:r w:rsidRPr="00D244A5">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{"citationID":"VXynlANW","properties":{"formattedCitation":"\\super 23\\nosupersub{}","plainCitation":"23","noteIndex":0},"citationItems":[{"id":4846,"uris":["http://zotero.org/users/15552969/items/3T2FLXQA"],"itemData":{"id":4846,"type":"article-journal","citation-key":"karnofskyUseNitrogenMustards1948","container-title":"Cancer","DOI":"10.1002/1097-0142(194811)1:4&lt;634::AID-CNCR2820010410&gt;3.0.CO;2-L","ISSN":"0008-543X","issue":"4","journalAbbreviation":"Cancer","page":"634-656","publisher":"John Wiley &amp; Sons, Ltd","title":"The use of the nitrogen mustards in the palliative treatment of carcinoma. With particular reference to bronchogenic carcinoma","volume":"1","author":[{"family":"Karnofsky","given":"David A."},{"family":"Abelmann","given":"Walter H."},{"family":"Craver","given":"Lloyd F."},{"family":"Burchenal","given":"Joseph H."}],"issued":{"date-parts":[["1948",11,1]]}}}],"schema":"https://github.com/citation-style-language/schema/raw/master/csl-citation.json"} </w:instrText>
      </w:r>
      <w:r w:rsidRPr="00D244A5">
        <w:rPr>
          <w:rFonts w:ascii="Palatino Linotype" w:eastAsia="Palatino Linotype" w:hAnsi="Palatino Linotype" w:cs="Palatino Linotype"/>
          <w:color w:val="000000"/>
          <w:sz w:val="20"/>
          <w:szCs w:val="20"/>
        </w:rPr>
        <w:fldChar w:fldCharType="separate"/>
      </w:r>
      <w:r w:rsidR="00943DE9" w:rsidRPr="00943DE9">
        <w:rPr>
          <w:rFonts w:ascii="Palatino Linotype" w:hAnsi="Palatino Linotype"/>
          <w:color w:val="000000"/>
          <w:sz w:val="20"/>
          <w:vertAlign w:val="superscript"/>
        </w:rPr>
        <w:t>23</w:t>
      </w:r>
      <w:r w:rsidRPr="00D244A5">
        <w:rPr>
          <w:rFonts w:ascii="Palatino Linotype" w:eastAsia="Palatino Linotype" w:hAnsi="Palatino Linotype" w:cs="Palatino Linotype"/>
          <w:color w:val="000000"/>
          <w:sz w:val="20"/>
          <w:szCs w:val="20"/>
        </w:rPr>
        <w:fldChar w:fldCharType="end"/>
      </w:r>
      <w:r w:rsidRPr="00D244A5">
        <w:rPr>
          <w:rFonts w:ascii="Palatino Linotype" w:eastAsia="Palatino Linotype" w:hAnsi="Palatino Linotype" w:cs="Palatino Linotype"/>
          <w:color w:val="000000"/>
          <w:sz w:val="20"/>
          <w:szCs w:val="20"/>
        </w:rPr>
        <w:t>.</w:t>
      </w:r>
    </w:p>
    <w:p w14:paraId="35D89757" w14:textId="77777777" w:rsidR="00AB700A" w:rsidRPr="00D244A5" w:rsidRDefault="00AB700A" w:rsidP="00F055D8">
      <w:pPr>
        <w:pStyle w:val="ListParagraph"/>
        <w:numPr>
          <w:ilvl w:val="0"/>
          <w:numId w:val="33"/>
        </w:num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 xml:space="preserve">Radiological characteristics included meningioma location, diameter, presence and degree of midline shift, ventricular involvement, </w:t>
      </w:r>
      <w:r>
        <w:rPr>
          <w:rFonts w:ascii="Palatino Linotype" w:eastAsia="Palatino Linotype" w:hAnsi="Palatino Linotype" w:cs="Palatino Linotype"/>
          <w:color w:val="000000"/>
          <w:sz w:val="20"/>
          <w:szCs w:val="20"/>
        </w:rPr>
        <w:t xml:space="preserve">peritumoral </w:t>
      </w:r>
      <w:r w:rsidRPr="00D244A5">
        <w:rPr>
          <w:rFonts w:ascii="Palatino Linotype" w:eastAsia="Palatino Linotype" w:hAnsi="Palatino Linotype" w:cs="Palatino Linotype"/>
          <w:color w:val="000000"/>
          <w:sz w:val="20"/>
          <w:szCs w:val="20"/>
        </w:rPr>
        <w:t>edema, enhancement, dural tail, vessel encasement/narrowing, cavernous sinus invasion, cysts, bone invasion, and hyperostosis.</w:t>
      </w:r>
    </w:p>
    <w:p w14:paraId="5132A258" w14:textId="77777777" w:rsidR="00AB700A" w:rsidRPr="00D244A5" w:rsidRDefault="00AB700A" w:rsidP="00F055D8">
      <w:pPr>
        <w:pStyle w:val="ListParagraph"/>
        <w:numPr>
          <w:ilvl w:val="0"/>
          <w:numId w:val="33"/>
        </w:num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Surgical variables: approach, intraoperative findings (i.e., vessel and cranial nerve involvement, brainstem compression), and the extent of resection (EOR), as estimated using the Simpson grading system and subsequently verified on early baseline postoperative MRI.</w:t>
      </w:r>
    </w:p>
    <w:p w14:paraId="1E8AFD96" w14:textId="5E7CBDA9" w:rsidR="00AB700A" w:rsidRPr="00D244A5" w:rsidRDefault="00AB700A" w:rsidP="00F055D8">
      <w:pPr>
        <w:pStyle w:val="ListParagraph"/>
        <w:numPr>
          <w:ilvl w:val="0"/>
          <w:numId w:val="33"/>
        </w:num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lastRenderedPageBreak/>
        <w:t>Histopathological analysis: WHO grade. Histopathological diagnoses were performed using the 2021 WHO classification.</w:t>
      </w:r>
      <w:r w:rsidRPr="00D244A5">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{"citationID":"Qd8R9S3D","properties":{"formattedCitation":"\\super 24\\nosupersub{}","plainCitation":"24","noteIndex":0},"citationItems":[{"id":4847,"uris":["http://zotero.org/users/15552969/items/NQF9EGP4"],"itemData":{"id":4847,"type":"article-journal","abstract":"BACKGROUND: The World Health Organization (WHO) Classification of Tumours, also known as WHO Blue Books, represents an international standardised tool in the diagnostic work-up of tumours. This classification system is under continuous revision, and progress in the molecular classification of tumours in the central nervous system (CNS) enforced an update of the WHO 2016 classification, and the fifth edition, WHO CNS5, was published in 2021. The aim of this minireview is to highlight important changes in this new edition relevant for the practicing neurosurgeon.\nMETHODS: The sixth volume of the fifth edition of the WHO Blue Books of CNS tumours and related papers formed the basis for this minireview.\nRESULTS: Major changes encompass standardisation of tumour grading and nomenclature as well as increased incorporation of molecular markers in the classification of CNS tumours.\nCONCLUSION: Advances in molecular genetics have resulted in more accurate diagnosis and prognosis of CNS tumours, and this minireview summarises important changes implemented in the last edition of WHO classification of CNS tumours important for the practicing neurosurgeon.","citation-key":"torpWHO2021Classification2022","container-title":"Acta Neurochirurgica","DOI":"10.1007/s00701-022-05301-y","ISSN":"0942-0940","issue":"9","journalAbbreviation":"Acta Neurochir (Wien)","language":"eng","page":"2453-2464","PMID":"35879477","PMCID":"PMC9427889","source":"PubMed","title":"The WHO 2021 Classification of Central Nervous System tumours: a practical update on what neurosurgeons need to know-a minireview","title-short":"The WHO 2021 Classification of Central Nervous System tumours","volume":"164","author":[{"family":"Torp","given":"Sverre Helge"},{"family":"Solheim","given":"Ole"},{"family":"Skjulsvik","given":"Anne Jarstein"}],"issued":{"date-parts":[["2022",9]]}}}],"schema":"https://github.com/citation-style-language/schema/raw/master/csl-citation.json"} </w:instrText>
      </w:r>
      <w:r w:rsidRPr="00D244A5">
        <w:rPr>
          <w:rFonts w:ascii="Palatino Linotype" w:eastAsia="Palatino Linotype" w:hAnsi="Palatino Linotype" w:cs="Palatino Linotype"/>
          <w:color w:val="000000"/>
          <w:sz w:val="20"/>
          <w:szCs w:val="20"/>
        </w:rPr>
        <w:fldChar w:fldCharType="separate"/>
      </w:r>
      <w:r w:rsidR="00943DE9" w:rsidRPr="00943DE9">
        <w:rPr>
          <w:rFonts w:ascii="Palatino Linotype" w:hAnsi="Palatino Linotype"/>
          <w:color w:val="000000"/>
          <w:sz w:val="20"/>
          <w:vertAlign w:val="superscript"/>
        </w:rPr>
        <w:t>24</w:t>
      </w:r>
      <w:r w:rsidRPr="00D244A5">
        <w:rPr>
          <w:rFonts w:ascii="Palatino Linotype" w:eastAsia="Palatino Linotype" w:hAnsi="Palatino Linotype" w:cs="Palatino Linotype"/>
          <w:color w:val="000000"/>
          <w:sz w:val="20"/>
          <w:szCs w:val="20"/>
        </w:rPr>
        <w:fldChar w:fldCharType="end"/>
      </w:r>
    </w:p>
    <w:p w14:paraId="552F2162" w14:textId="77777777" w:rsidR="00AB700A" w:rsidRPr="00D244A5" w:rsidRDefault="00AB700A" w:rsidP="008B024E">
      <w:pPr>
        <w:pStyle w:val="ListParagraph"/>
        <w:numPr>
          <w:ilvl w:val="0"/>
          <w:numId w:val="33"/>
        </w:num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 xml:space="preserve">Postoperative complications: </w:t>
      </w:r>
      <w:r w:rsidRPr="008B024E">
        <w:rPr>
          <w:rFonts w:ascii="Palatino Linotype" w:eastAsia="Palatino Linotype" w:hAnsi="Palatino Linotype" w:cs="Palatino Linotype"/>
          <w:color w:val="000000"/>
          <w:sz w:val="20"/>
          <w:szCs w:val="20"/>
          <w:lang w:val="en"/>
        </w:rPr>
        <w:t>occurrence and number of complications, systemic infections, postoperative seizures, hydrocephalus, deep vein thrombosis (DVT), hematoma, ICU admission for complications, multiorgan failure, new neurological deficits, and visual</w:t>
      </w:r>
      <w:r>
        <w:rPr>
          <w:rFonts w:ascii="Palatino Linotype" w:eastAsia="Palatino Linotype" w:hAnsi="Palatino Linotype" w:cs="Palatino Linotype"/>
          <w:color w:val="000000"/>
          <w:sz w:val="20"/>
          <w:szCs w:val="20"/>
          <w:lang w:val="en"/>
        </w:rPr>
        <w:t xml:space="preserve">, </w:t>
      </w:r>
      <w:r w:rsidRPr="008B024E">
        <w:rPr>
          <w:rFonts w:ascii="Palatino Linotype" w:eastAsia="Palatino Linotype" w:hAnsi="Palatino Linotype" w:cs="Palatino Linotype"/>
          <w:color w:val="000000"/>
          <w:sz w:val="20"/>
          <w:szCs w:val="20"/>
          <w:lang w:val="en"/>
        </w:rPr>
        <w:t xml:space="preserve">motor, </w:t>
      </w:r>
      <w:r>
        <w:rPr>
          <w:rFonts w:ascii="Palatino Linotype" w:eastAsia="Palatino Linotype" w:hAnsi="Palatino Linotype" w:cs="Palatino Linotype"/>
          <w:color w:val="000000"/>
          <w:sz w:val="20"/>
          <w:szCs w:val="20"/>
          <w:lang w:val="en"/>
        </w:rPr>
        <w:t xml:space="preserve">or cognitive </w:t>
      </w:r>
      <w:r w:rsidRPr="008B024E">
        <w:rPr>
          <w:rFonts w:ascii="Palatino Linotype" w:eastAsia="Palatino Linotype" w:hAnsi="Palatino Linotype" w:cs="Palatino Linotype"/>
          <w:color w:val="000000"/>
          <w:sz w:val="20"/>
          <w:szCs w:val="20"/>
          <w:lang w:val="en"/>
        </w:rPr>
        <w:t>impairment</w:t>
      </w:r>
      <w:r w:rsidRPr="008B024E">
        <w:rPr>
          <w:rFonts w:ascii="Palatino Linotype" w:eastAsia="Palatino Linotype" w:hAnsi="Palatino Linotype" w:cs="Palatino Linotype"/>
          <w:color w:val="000000"/>
          <w:sz w:val="20"/>
          <w:szCs w:val="20"/>
        </w:rPr>
        <w:t>.</w:t>
      </w:r>
    </w:p>
    <w:p w14:paraId="5258C775" w14:textId="77777777" w:rsidR="00AB700A"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689B34EB" w14:textId="77777777" w:rsidR="00762728" w:rsidRPr="00D244A5" w:rsidRDefault="00762728" w:rsidP="00762728">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r w:rsidRPr="00D244A5">
        <w:rPr>
          <w:rFonts w:ascii="Palatino Linotype" w:eastAsia="Palatino Linotype" w:hAnsi="Palatino Linotype" w:cs="Palatino Linotype"/>
          <w:b/>
          <w:bCs/>
          <w:color w:val="000000"/>
          <w:sz w:val="20"/>
          <w:szCs w:val="20"/>
        </w:rPr>
        <w:t>Descriptive statistics</w:t>
      </w:r>
    </w:p>
    <w:p w14:paraId="254A1C1A" w14:textId="77777777" w:rsidR="00762728" w:rsidRPr="00637D19" w:rsidRDefault="00762728" w:rsidP="0076272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Descriptive statistics were used to summarize the baseline characteristics. Continuous variables were assessed for distributional properties and are presented as mean ± standard deviation (SD) for normally distributed data or median and interquartile range (IQR) for non-normally distributed data. Categorical variables are reported as absolute and relative frequencies (%).</w:t>
      </w:r>
    </w:p>
    <w:p w14:paraId="69547862" w14:textId="77777777" w:rsidR="00762728" w:rsidRPr="00D244A5" w:rsidRDefault="00762728"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114ED42B" w14:textId="3AF211EF" w:rsidR="00AB700A" w:rsidRPr="00695E81" w:rsidRDefault="00ED1A91" w:rsidP="00695E81">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r w:rsidRPr="00ED1A91">
        <w:rPr>
          <w:rFonts w:ascii="Palatino Linotype" w:eastAsia="Palatino Linotype" w:hAnsi="Palatino Linotype" w:cs="Palatino Linotype"/>
          <w:b/>
          <w:bCs/>
          <w:color w:val="000000"/>
          <w:sz w:val="20"/>
          <w:szCs w:val="20"/>
        </w:rPr>
        <w:t>Variable selection and primary outcomes</w:t>
      </w:r>
    </w:p>
    <w:p w14:paraId="182E3649" w14:textId="77777777" w:rsidR="00AB700A" w:rsidRPr="001166CF" w:rsidRDefault="00AB700A" w:rsidP="001166CF">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1166CF">
        <w:rPr>
          <w:rFonts w:ascii="Palatino Linotype" w:eastAsia="Palatino Linotype" w:hAnsi="Palatino Linotype" w:cs="Palatino Linotype"/>
          <w:color w:val="000000"/>
          <w:sz w:val="20"/>
          <w:szCs w:val="20"/>
        </w:rPr>
        <w:t>All predictors were defined a priori and included demographic, clinical, radiological, and surgical variables</w:t>
      </w:r>
      <w:r>
        <w:rPr>
          <w:rFonts w:ascii="Palatino Linotype" w:eastAsia="Palatino Linotype" w:hAnsi="Palatino Linotype" w:cs="Palatino Linotype"/>
          <w:color w:val="000000"/>
          <w:sz w:val="20"/>
          <w:szCs w:val="20"/>
        </w:rPr>
        <w:t xml:space="preserve"> </w:t>
      </w:r>
      <w:r w:rsidRPr="001166CF">
        <w:rPr>
          <w:rFonts w:ascii="Palatino Linotype" w:eastAsia="Palatino Linotype" w:hAnsi="Palatino Linotype" w:cs="Palatino Linotype"/>
          <w:color w:val="000000"/>
          <w:sz w:val="20"/>
          <w:szCs w:val="20"/>
        </w:rPr>
        <w:t>routinely collected during patient care (see Supplementary Table 1 for details). The predictor variables</w:t>
      </w:r>
      <w:r>
        <w:rPr>
          <w:rFonts w:ascii="Palatino Linotype" w:eastAsia="Palatino Linotype" w:hAnsi="Palatino Linotype" w:cs="Palatino Linotype"/>
          <w:color w:val="000000"/>
          <w:sz w:val="20"/>
          <w:szCs w:val="20"/>
        </w:rPr>
        <w:t xml:space="preserve"> </w:t>
      </w:r>
      <w:r w:rsidRPr="001166CF">
        <w:rPr>
          <w:rFonts w:ascii="Palatino Linotype" w:eastAsia="Palatino Linotype" w:hAnsi="Palatino Linotype" w:cs="Palatino Linotype"/>
          <w:color w:val="000000"/>
          <w:sz w:val="20"/>
          <w:szCs w:val="20"/>
        </w:rPr>
        <w:t>were categorized based on their availability relative to the surgical procedure.</w:t>
      </w:r>
    </w:p>
    <w:p w14:paraId="3FE55EFE" w14:textId="77777777" w:rsidR="00AB700A" w:rsidRDefault="00AB700A" w:rsidP="00664493">
      <w:pPr>
        <w:pStyle w:val="ListParagraph"/>
        <w:numPr>
          <w:ilvl w:val="0"/>
          <w:numId w:val="49"/>
        </w:num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1166CF">
        <w:rPr>
          <w:rFonts w:ascii="Palatino Linotype" w:eastAsia="Palatino Linotype" w:hAnsi="Palatino Linotype" w:cs="Palatino Linotype"/>
          <w:color w:val="000000"/>
          <w:sz w:val="20"/>
          <w:szCs w:val="20"/>
        </w:rPr>
        <w:t>Tier A (Preoperative): demographics, comorbidities, preoperative KPS/ASA, symptoms, and</w:t>
      </w:r>
      <w:r>
        <w:rPr>
          <w:rFonts w:ascii="Palatino Linotype" w:eastAsia="Palatino Linotype" w:hAnsi="Palatino Linotype" w:cs="Palatino Linotype"/>
          <w:color w:val="000000"/>
          <w:sz w:val="20"/>
          <w:szCs w:val="20"/>
        </w:rPr>
        <w:t xml:space="preserve"> </w:t>
      </w:r>
      <w:r w:rsidRPr="006D67CC">
        <w:rPr>
          <w:rFonts w:ascii="Palatino Linotype" w:eastAsia="Palatino Linotype" w:hAnsi="Palatino Linotype" w:cs="Palatino Linotype"/>
          <w:color w:val="000000"/>
          <w:sz w:val="20"/>
          <w:szCs w:val="20"/>
        </w:rPr>
        <w:t xml:space="preserve">radiological features (e.g., location, maximum axial diameter, </w:t>
      </w:r>
      <w:r>
        <w:rPr>
          <w:rFonts w:ascii="Palatino Linotype" w:eastAsia="Palatino Linotype" w:hAnsi="Palatino Linotype" w:cs="Palatino Linotype"/>
          <w:color w:val="000000"/>
          <w:sz w:val="20"/>
          <w:szCs w:val="20"/>
        </w:rPr>
        <w:t xml:space="preserve">peritumoral </w:t>
      </w:r>
      <w:r w:rsidRPr="006D67CC">
        <w:rPr>
          <w:rFonts w:ascii="Palatino Linotype" w:eastAsia="Palatino Linotype" w:hAnsi="Palatino Linotype" w:cs="Palatino Linotype"/>
          <w:color w:val="000000"/>
          <w:sz w:val="20"/>
          <w:szCs w:val="20"/>
        </w:rPr>
        <w:t>edema),</w:t>
      </w:r>
    </w:p>
    <w:p w14:paraId="5D7A1342" w14:textId="77777777" w:rsidR="00AB700A" w:rsidRDefault="00AB700A" w:rsidP="00664493">
      <w:pPr>
        <w:pStyle w:val="ListParagraph"/>
        <w:numPr>
          <w:ilvl w:val="0"/>
          <w:numId w:val="49"/>
        </w:num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664493">
        <w:rPr>
          <w:rFonts w:ascii="Palatino Linotype" w:eastAsia="Palatino Linotype" w:hAnsi="Palatino Linotype" w:cs="Palatino Linotype"/>
          <w:color w:val="000000"/>
          <w:sz w:val="20"/>
          <w:szCs w:val="20"/>
        </w:rPr>
        <w:t>Tier B (Comprehensive): Tier A plus intraoperative/surgical variables (e.g., approach, cranial nerve/vessel involvement, brainstem compression, Simpson grade/EOR).</w:t>
      </w:r>
    </w:p>
    <w:p w14:paraId="1151AF46" w14:textId="3473580E" w:rsidR="00681E78" w:rsidRPr="00F32CFB" w:rsidRDefault="00C475CF" w:rsidP="00681E7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E601B4">
        <w:rPr>
          <w:rFonts w:ascii="Palatino Linotype" w:eastAsia="Palatino Linotype" w:hAnsi="Palatino Linotype" w:cs="Palatino Linotype"/>
          <w:color w:val="000000"/>
          <w:sz w:val="20"/>
          <w:szCs w:val="20"/>
        </w:rPr>
        <w:t>Clinical outcomes were defined using four predetermined measures to capture the key aspects of surgical morbidity and recovery.</w:t>
      </w:r>
      <w:r>
        <w:rPr>
          <w:rFonts w:ascii="Palatino Linotype" w:eastAsia="Palatino Linotype" w:hAnsi="Palatino Linotype" w:cs="Palatino Linotype"/>
          <w:color w:val="000000"/>
          <w:sz w:val="20"/>
          <w:szCs w:val="20"/>
        </w:rPr>
        <w:t xml:space="preserve"> </w:t>
      </w:r>
      <w:r w:rsidRPr="00E601B4">
        <w:rPr>
          <w:rFonts w:ascii="Palatino Linotype" w:eastAsia="Palatino Linotype" w:hAnsi="Palatino Linotype" w:cs="Palatino Linotype"/>
          <w:color w:val="000000"/>
          <w:sz w:val="20"/>
          <w:szCs w:val="20"/>
        </w:rPr>
        <w:t>These includ</w:t>
      </w:r>
      <w:r>
        <w:rPr>
          <w:rFonts w:ascii="Palatino Linotype" w:eastAsia="Palatino Linotype" w:hAnsi="Palatino Linotype" w:cs="Palatino Linotype"/>
          <w:color w:val="000000"/>
          <w:sz w:val="20"/>
          <w:szCs w:val="20"/>
        </w:rPr>
        <w:t>e</w:t>
      </w:r>
      <w:r w:rsidRPr="00E601B4">
        <w:rPr>
          <w:rFonts w:ascii="Palatino Linotype" w:eastAsia="Palatino Linotype" w:hAnsi="Palatino Linotype" w:cs="Palatino Linotype"/>
          <w:color w:val="000000"/>
          <w:sz w:val="20"/>
          <w:szCs w:val="20"/>
        </w:rPr>
        <w:t xml:space="preserve"> the </w:t>
      </w:r>
      <w:r>
        <w:rPr>
          <w:rFonts w:ascii="Palatino Linotype" w:eastAsia="Palatino Linotype" w:hAnsi="Palatino Linotype" w:cs="Palatino Linotype"/>
          <w:color w:val="000000"/>
          <w:sz w:val="20"/>
          <w:szCs w:val="20"/>
        </w:rPr>
        <w:t>development of new neurologic deficit</w:t>
      </w:r>
      <w:r w:rsidRPr="00E601B4">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prolonged length of hospital stays (LOS &gt; 4 days), </w:t>
      </w:r>
      <w:r w:rsidR="000569F3">
        <w:rPr>
          <w:rFonts w:ascii="Palatino Linotype" w:eastAsia="Palatino Linotype" w:hAnsi="Palatino Linotype" w:cs="Palatino Linotype"/>
          <w:color w:val="000000"/>
          <w:sz w:val="20"/>
          <w:szCs w:val="20"/>
        </w:rPr>
        <w:t>d</w:t>
      </w:r>
      <w:r w:rsidR="000569F3" w:rsidRPr="000569F3">
        <w:rPr>
          <w:rFonts w:ascii="Palatino Linotype" w:eastAsia="Palatino Linotype" w:hAnsi="Palatino Linotype" w:cs="Palatino Linotype"/>
          <w:color w:val="000000"/>
          <w:sz w:val="20"/>
          <w:szCs w:val="20"/>
        </w:rPr>
        <w:t xml:space="preserve">ecrease in KPS </w:t>
      </w:r>
      <w:r>
        <w:rPr>
          <w:rFonts w:ascii="Palatino Linotype" w:eastAsia="Palatino Linotype" w:hAnsi="Palatino Linotype" w:cs="Palatino Linotype"/>
          <w:color w:val="000000"/>
          <w:sz w:val="20"/>
          <w:szCs w:val="20"/>
        </w:rPr>
        <w:t>at discharge, and the incidence of complications within 30 days post-surgery.</w:t>
      </w:r>
    </w:p>
    <w:p w14:paraId="2F41B4C7" w14:textId="77777777" w:rsidR="00AB700A" w:rsidRPr="00D244A5" w:rsidRDefault="00AB700A" w:rsidP="001166CF">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06C0FC0E"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r w:rsidRPr="00D244A5">
        <w:rPr>
          <w:rFonts w:ascii="Palatino Linotype" w:eastAsia="Palatino Linotype" w:hAnsi="Palatino Linotype" w:cs="Palatino Linotype"/>
          <w:b/>
          <w:bCs/>
          <w:color w:val="000000"/>
          <w:sz w:val="20"/>
          <w:szCs w:val="20"/>
        </w:rPr>
        <w:t>Predictive Models Development and Evaluation</w:t>
      </w:r>
    </w:p>
    <w:p w14:paraId="4012F3B2" w14:textId="319A157B" w:rsidR="0010662D" w:rsidRDefault="0010662D" w:rsidP="0010662D">
      <w:pPr>
        <w:pStyle w:val="MDPI31text"/>
        <w:spacing w:line="360" w:lineRule="auto"/>
        <w:ind w:left="0" w:firstLine="0"/>
        <w:rPr>
          <w:rFonts w:eastAsia="Palatino Linotype" w:cs="Palatino Linotype"/>
          <w:szCs w:val="20"/>
        </w:rPr>
      </w:pPr>
      <w:r w:rsidRPr="000961B2">
        <w:t>All analyses were performed using Python (version 3.12.11) and scikit-learn library (version 1.</w:t>
      </w:r>
      <w:r w:rsidR="00570987">
        <w:t>5</w:t>
      </w:r>
      <w:r w:rsidRPr="000961B2">
        <w:t>.</w:t>
      </w:r>
      <w:r w:rsidR="00570987">
        <w:t>2</w:t>
      </w:r>
      <w:r w:rsidRPr="000961B2">
        <w:t>). The reporting of the machine learning model followed the principles outlined in the TRIPOD-AI guidelines (</w:t>
      </w:r>
      <w:hyperlink r:id="rId8" w:tgtFrame="_new" w:history="1">
        <w:r w:rsidRPr="000961B2">
          <w:rPr>
            <w:rStyle w:val="Hyperlink"/>
          </w:rPr>
          <w:t>https://www.tripod-statement.org/scope/</w:t>
        </w:r>
      </w:hyperlink>
      <w:r w:rsidRPr="000961B2">
        <w:t>), although not all checklist items could be fulfilled due to the retrospective nature and lack of external validation.</w:t>
      </w:r>
      <w:r w:rsidR="00E6794D">
        <w:rPr>
          <w:rFonts w:eastAsia="Palatino Linotype" w:cs="Palatino Linotype"/>
          <w:szCs w:val="20"/>
        </w:rPr>
        <w:fldChar w:fldCharType="begin"/>
      </w:r>
      <w:r w:rsidR="00943DE9">
        <w:rPr>
          <w:rFonts w:eastAsia="Palatino Linotype" w:cs="Palatino Linotype"/>
          <w:szCs w:val="20"/>
        </w:rPr>
        <w:instrText xml:space="preserve"> ADDIN ZOTERO_ITEM CSL_CITATION {"citationID":"2rtXQr6i","properties":{"formattedCitation":"\\super 25\\nosupersub{}","plainCitation":"25","noteIndex":0},"citationItems":[{"id":3378,"uris":["http://zotero.org/users/15552969/items/N64ZR85Q"],"itemData":{"id":3378,"type":"article-journal","citation-key":"collinsTRIPOD+AIStatementUpdated2024","container-title":"BMJ","DOI":"10.1136/bmj-2023-078378","ISSN":"1756-1833","journalAbbreviation":"BMJ","language":"en","page":"e078378","source":"DOI.org (Crossref)","title":"TRIPOD+AI statement: updated guidance for reporting clinical prediction models that use regression or machine learning methods","title-short":"TRIPOD+AI statement","author":[{"family":"Collins","given":"Gary S"},{"family":"Moons","given":"Karel G M"},{"family":"Dhiman","given":"Paula"},{"family":"Riley","given":"Richard D"},{"family":"Beam","given":"Andrew L"},{"family":"Van Calster","given":"Ben"},{"family":"Ghassemi","given":"Marzyeh"},{"family":"Liu","given":"Xiaoxuan"},{"family":"Reitsma","given":"Johannes B"},{"family":"Van Smeden","given":"Maarten"},{"family":"Boulesteix","given":"Anne-Laure"},{"family":"Camaradou","given":"Jennifer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E6794D">
        <w:rPr>
          <w:rFonts w:eastAsia="Palatino Linotype" w:cs="Palatino Linotype"/>
          <w:szCs w:val="20"/>
        </w:rPr>
        <w:fldChar w:fldCharType="separate"/>
      </w:r>
      <w:r w:rsidR="00943DE9" w:rsidRPr="00943DE9">
        <w:rPr>
          <w:vertAlign w:val="superscript"/>
        </w:rPr>
        <w:t>25</w:t>
      </w:r>
      <w:r w:rsidR="00E6794D">
        <w:rPr>
          <w:rFonts w:eastAsia="Palatino Linotype" w:cs="Palatino Linotype"/>
          <w:szCs w:val="20"/>
        </w:rPr>
        <w:fldChar w:fldCharType="end"/>
      </w:r>
      <w:r w:rsidR="00681E78">
        <w:rPr>
          <w:rFonts w:eastAsia="Palatino Linotype" w:cs="Palatino Linotype"/>
          <w:szCs w:val="20"/>
        </w:rPr>
        <w:t xml:space="preserve"> </w:t>
      </w:r>
    </w:p>
    <w:p w14:paraId="470D8748" w14:textId="77777777" w:rsidR="00CA02C8" w:rsidRDefault="00CA02C8" w:rsidP="00CA02C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5C98DE8E" w14:textId="6D0BA3AE" w:rsidR="00CA02C8" w:rsidRPr="00CA02C8" w:rsidRDefault="00CA02C8" w:rsidP="00CA02C8">
      <w:pPr>
        <w:pStyle w:val="MDPI31text"/>
        <w:spacing w:line="360" w:lineRule="auto"/>
        <w:ind w:left="0" w:firstLine="0"/>
        <w:rPr>
          <w:i/>
          <w:iCs/>
        </w:rPr>
      </w:pPr>
      <w:r w:rsidRPr="000961B2">
        <w:rPr>
          <w:i/>
          <w:iCs/>
        </w:rPr>
        <w:lastRenderedPageBreak/>
        <w:t xml:space="preserve">Models and Variables </w:t>
      </w:r>
    </w:p>
    <w:p w14:paraId="4537EEBC" w14:textId="681E8744" w:rsidR="001E0BC4" w:rsidRDefault="008B701B" w:rsidP="003876E1">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 xml:space="preserve">The models were trained and validated across four clinical endpoints. Each endpoint was analyzed using </w:t>
      </w:r>
      <w:r>
        <w:rPr>
          <w:rFonts w:ascii="Palatino Linotype" w:eastAsia="Palatino Linotype" w:hAnsi="Palatino Linotype" w:cs="Palatino Linotype"/>
          <w:color w:val="000000"/>
          <w:sz w:val="20"/>
          <w:szCs w:val="20"/>
        </w:rPr>
        <w:t>two</w:t>
      </w:r>
      <w:r w:rsidRPr="00D244A5">
        <w:rPr>
          <w:rFonts w:ascii="Palatino Linotype" w:eastAsia="Palatino Linotype" w:hAnsi="Palatino Linotype" w:cs="Palatino Linotype"/>
          <w:color w:val="000000"/>
          <w:sz w:val="20"/>
          <w:szCs w:val="20"/>
        </w:rPr>
        <w:t xml:space="preserve"> modeling tiers: a preoperative model incorporating only baseline and imaging predictors</w:t>
      </w:r>
      <w:r>
        <w:rPr>
          <w:rFonts w:ascii="Palatino Linotype" w:eastAsia="Palatino Linotype" w:hAnsi="Palatino Linotype" w:cs="Palatino Linotype"/>
          <w:color w:val="000000"/>
          <w:sz w:val="20"/>
          <w:szCs w:val="20"/>
        </w:rPr>
        <w:t xml:space="preserve"> </w:t>
      </w:r>
      <w:r w:rsidRPr="00D244A5">
        <w:rPr>
          <w:rFonts w:ascii="Palatino Linotype" w:eastAsia="Palatino Linotype" w:hAnsi="Palatino Linotype" w:cs="Palatino Linotype"/>
          <w:color w:val="000000"/>
          <w:sz w:val="20"/>
          <w:szCs w:val="20"/>
        </w:rPr>
        <w:t>(Tier A)</w:t>
      </w:r>
      <w:r>
        <w:rPr>
          <w:rFonts w:ascii="Palatino Linotype" w:eastAsia="Palatino Linotype" w:hAnsi="Palatino Linotype" w:cs="Palatino Linotype"/>
          <w:color w:val="000000"/>
          <w:sz w:val="20"/>
          <w:szCs w:val="20"/>
        </w:rPr>
        <w:t xml:space="preserve"> and </w:t>
      </w:r>
      <w:r w:rsidRPr="00D244A5">
        <w:rPr>
          <w:rFonts w:ascii="Palatino Linotype" w:eastAsia="Palatino Linotype" w:hAnsi="Palatino Linotype" w:cs="Palatino Linotype"/>
          <w:color w:val="000000"/>
          <w:sz w:val="20"/>
          <w:szCs w:val="20"/>
        </w:rPr>
        <w:t>a</w:t>
      </w:r>
      <w:r>
        <w:rPr>
          <w:rFonts w:ascii="Palatino Linotype" w:eastAsia="Palatino Linotype" w:hAnsi="Palatino Linotype" w:cs="Palatino Linotype"/>
          <w:color w:val="000000"/>
          <w:sz w:val="20"/>
          <w:szCs w:val="20"/>
        </w:rPr>
        <w:t xml:space="preserve"> </w:t>
      </w:r>
      <w:r w:rsidRPr="00D244A5">
        <w:rPr>
          <w:rFonts w:ascii="Palatino Linotype" w:eastAsia="Palatino Linotype" w:hAnsi="Palatino Linotype" w:cs="Palatino Linotype"/>
          <w:color w:val="000000"/>
          <w:sz w:val="20"/>
          <w:szCs w:val="20"/>
        </w:rPr>
        <w:t xml:space="preserve">comprehensive model incorporating intraoperative </w:t>
      </w:r>
      <w:r>
        <w:rPr>
          <w:rFonts w:ascii="Palatino Linotype" w:eastAsia="Palatino Linotype" w:hAnsi="Palatino Linotype" w:cs="Palatino Linotype"/>
          <w:color w:val="000000"/>
          <w:sz w:val="20"/>
          <w:szCs w:val="20"/>
        </w:rPr>
        <w:t xml:space="preserve">variables </w:t>
      </w:r>
      <w:r w:rsidRPr="00D244A5">
        <w:rPr>
          <w:rFonts w:ascii="Palatino Linotype" w:eastAsia="Palatino Linotype" w:hAnsi="Palatino Linotype" w:cs="Palatino Linotype"/>
          <w:color w:val="000000"/>
          <w:sz w:val="20"/>
          <w:szCs w:val="20"/>
        </w:rPr>
        <w:t xml:space="preserve">(Tier </w:t>
      </w:r>
      <w:r>
        <w:rPr>
          <w:rFonts w:ascii="Palatino Linotype" w:eastAsia="Palatino Linotype" w:hAnsi="Palatino Linotype" w:cs="Palatino Linotype"/>
          <w:color w:val="000000"/>
          <w:sz w:val="20"/>
          <w:szCs w:val="20"/>
        </w:rPr>
        <w:t>B</w:t>
      </w:r>
      <w:r w:rsidRPr="00D244A5">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W</w:t>
      </w:r>
      <w:r w:rsidRPr="00EF23AA">
        <w:rPr>
          <w:rFonts w:ascii="Palatino Linotype" w:eastAsia="Palatino Linotype" w:hAnsi="Palatino Linotype" w:cs="Palatino Linotype"/>
          <w:color w:val="000000"/>
          <w:sz w:val="20"/>
          <w:szCs w:val="20"/>
        </w:rPr>
        <w:t xml:space="preserve">e implemented a machine learning-based </w:t>
      </w:r>
      <w:r w:rsidR="00D12438">
        <w:rPr>
          <w:rFonts w:ascii="Palatino Linotype" w:eastAsia="Palatino Linotype" w:hAnsi="Palatino Linotype" w:cs="Palatino Linotype"/>
          <w:color w:val="000000"/>
          <w:sz w:val="20"/>
          <w:szCs w:val="20"/>
        </w:rPr>
        <w:t>histogram-bas</w:t>
      </w:r>
      <w:r w:rsidRPr="00EF23AA">
        <w:rPr>
          <w:rFonts w:ascii="Palatino Linotype" w:eastAsia="Palatino Linotype" w:hAnsi="Palatino Linotype" w:cs="Palatino Linotype"/>
          <w:color w:val="000000"/>
          <w:sz w:val="20"/>
          <w:szCs w:val="20"/>
        </w:rPr>
        <w:t>e</w:t>
      </w:r>
      <w:r w:rsidRPr="00D244A5">
        <w:rPr>
          <w:rFonts w:ascii="Palatino Linotype" w:eastAsia="Palatino Linotype" w:hAnsi="Palatino Linotype" w:cs="Palatino Linotype"/>
          <w:color w:val="000000"/>
          <w:sz w:val="20"/>
          <w:szCs w:val="20"/>
        </w:rPr>
        <w:t>d gradient boosting (HGB) algorithm, with the choice of regressor or classifier determined by the outcome type (continuous, categorical, or binary).</w:t>
      </w:r>
    </w:p>
    <w:p w14:paraId="471829E5" w14:textId="77777777" w:rsidR="001E0BC4" w:rsidRDefault="001E0BC4" w:rsidP="003876E1">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050C01B9" w14:textId="77777777" w:rsidR="001E0BC4" w:rsidRPr="000961B2" w:rsidRDefault="001E0BC4" w:rsidP="001E0BC4">
      <w:pPr>
        <w:pStyle w:val="MDPI31text"/>
        <w:spacing w:line="360" w:lineRule="auto"/>
        <w:ind w:left="0" w:firstLine="0"/>
        <w:rPr>
          <w:i/>
          <w:iCs/>
        </w:rPr>
      </w:pPr>
      <w:r w:rsidRPr="000961B2">
        <w:rPr>
          <w:i/>
          <w:iCs/>
        </w:rPr>
        <w:t>Data preprocessing</w:t>
      </w:r>
    </w:p>
    <w:p w14:paraId="38AACD48" w14:textId="1D70F597" w:rsidR="001E0BC4" w:rsidRPr="000961B2" w:rsidRDefault="001E0BC4" w:rsidP="001E0BC4">
      <w:pPr>
        <w:pStyle w:val="MDPI31text"/>
        <w:spacing w:line="360" w:lineRule="auto"/>
        <w:ind w:left="0" w:firstLine="0"/>
      </w:pPr>
      <w:r w:rsidRPr="000961B2">
        <w:t xml:space="preserve">Data preprocessing was performed using a standardized pipeline implemented in our internal codebase. Date variables were converted into numerical Unix time format to ensure compatibility with the regression algorithms. Categorical variables, such as tumor location, ASA classification, and focal neurological deficits, were encoded using one-hot encoding technique. Missing values were not imputed, as the selected </w:t>
      </w:r>
      <w:r w:rsidR="002D5110">
        <w:t>algorithm</w:t>
      </w:r>
      <w:r w:rsidR="005B5204">
        <w:t xml:space="preserve"> </w:t>
      </w:r>
      <w:r w:rsidRPr="000961B2">
        <w:t>natively handles missing entries by learning the optimal split directions for Na values during the tree-building process. Model hyperparameters were kept at default settings/optimized through randomized search with internal cross-validation to balance performance and interpretability.</w:t>
      </w:r>
    </w:p>
    <w:p w14:paraId="0FBDE12C" w14:textId="3D3B43C5" w:rsidR="00036536" w:rsidRDefault="008B701B" w:rsidP="00221042">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 xml:space="preserve"> </w:t>
      </w:r>
    </w:p>
    <w:p w14:paraId="6750D99D" w14:textId="77777777" w:rsidR="00221042" w:rsidRPr="000961B2" w:rsidRDefault="00221042" w:rsidP="00221042">
      <w:pPr>
        <w:pStyle w:val="MDPI31text"/>
        <w:spacing w:line="360" w:lineRule="auto"/>
        <w:ind w:left="0" w:firstLine="0"/>
        <w:rPr>
          <w:i/>
          <w:iCs/>
        </w:rPr>
      </w:pPr>
      <w:r w:rsidRPr="000961B2">
        <w:rPr>
          <w:i/>
          <w:iCs/>
        </w:rPr>
        <w:t>Model Validation</w:t>
      </w:r>
    </w:p>
    <w:p w14:paraId="0F5C0B74" w14:textId="49D4FA1F" w:rsidR="002959A3" w:rsidRPr="002D2038" w:rsidRDefault="00221042" w:rsidP="002D2038">
      <w:pPr>
        <w:pStyle w:val="MDPI31text"/>
        <w:spacing w:line="360" w:lineRule="auto"/>
        <w:ind w:left="0" w:firstLine="0"/>
      </w:pPr>
      <w:r w:rsidRPr="000961B2">
        <w:t>Because no external dataset was available, the generalizability of the model was assessed through internal validation using repeated k-fold cross-validation, which is the recommended approach for limited clinical cohorts. Specifically, we applied 5-fold cross-validation repeated ten times, yielding 50 independent train–test resamples. In each resample, the data were randomly partitioned into 80% training and 20% testing subsets, ensuring that every patient contributed to both the training and validation across repetitions. This resampling strategy provides a robust estimate of the variance and reduces the instability associated with single train–test splits in small datasets.</w:t>
      </w:r>
      <w:r>
        <w:t xml:space="preserve"> </w:t>
      </w:r>
      <w:r w:rsidR="00AB700A" w:rsidRPr="00D244A5">
        <w:rPr>
          <w:rFonts w:eastAsia="Palatino Linotype" w:cs="Palatino Linotype"/>
          <w:szCs w:val="20"/>
        </w:rPr>
        <w:t xml:space="preserve">The model performance was evaluated using a held-out test set. The primary metric was chosen based on the outcome type and class balance: area under the ROC curve (AUC) for balanced binary/categorical outcomes, average precision for imbalanced outcomes, and R² for continuous outcomes. </w:t>
      </w:r>
      <w:r w:rsidR="002959A3" w:rsidRPr="00D244A5">
        <w:rPr>
          <w:rFonts w:eastAsia="Palatino Linotype" w:cs="Palatino Linotype"/>
          <w:szCs w:val="20"/>
        </w:rPr>
        <w:t xml:space="preserve">Class imbalance was assessed before model training. If a significant imbalance was detected (minority class &lt;10%), the evaluation metric was changed to average precision; no resampling or class weighting was applied. </w:t>
      </w:r>
    </w:p>
    <w:p w14:paraId="042506E4" w14:textId="77777777" w:rsidR="009C564C" w:rsidRDefault="009C564C" w:rsidP="00C80A5C">
      <w:pPr>
        <w:pBdr>
          <w:top w:val="nil"/>
          <w:left w:val="nil"/>
          <w:bottom w:val="nil"/>
          <w:right w:val="nil"/>
          <w:between w:val="nil"/>
        </w:pBdr>
        <w:spacing w:line="360" w:lineRule="auto"/>
        <w:ind w:firstLine="360"/>
        <w:jc w:val="both"/>
        <w:rPr>
          <w:rFonts w:ascii="Palatino Linotype" w:eastAsia="Palatino Linotype" w:hAnsi="Palatino Linotype" w:cs="Palatino Linotype"/>
          <w:color w:val="000000"/>
          <w:sz w:val="20"/>
          <w:szCs w:val="20"/>
        </w:rPr>
      </w:pPr>
    </w:p>
    <w:p w14:paraId="00CF3B4C" w14:textId="6093EF33" w:rsidR="009C564C" w:rsidRPr="009C564C" w:rsidRDefault="009C564C" w:rsidP="009C564C">
      <w:pPr>
        <w:pStyle w:val="MDPI31text"/>
        <w:spacing w:line="360" w:lineRule="auto"/>
        <w:ind w:left="0" w:firstLine="0"/>
        <w:rPr>
          <w:i/>
          <w:iCs/>
        </w:rPr>
      </w:pPr>
      <w:r w:rsidRPr="000961B2">
        <w:rPr>
          <w:i/>
          <w:iCs/>
        </w:rPr>
        <w:t>Permutation importance</w:t>
      </w:r>
    </w:p>
    <w:p w14:paraId="33FED18E" w14:textId="098D4E4E" w:rsidR="00AB700A" w:rsidRPr="00D244A5" w:rsidRDefault="00AB700A" w:rsidP="0092727D">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0D6F21">
        <w:rPr>
          <w:rFonts w:ascii="Palatino Linotype" w:eastAsia="Palatino Linotype" w:hAnsi="Palatino Linotype" w:cs="Palatino Linotype"/>
          <w:color w:val="000000"/>
          <w:sz w:val="20"/>
          <w:szCs w:val="20"/>
        </w:rPr>
        <w:lastRenderedPageBreak/>
        <w:t xml:space="preserve">Permutation importance was used to quantify the impact of each feature by assessing the reduction in model accuracy after randomly permuting the feature values, </w:t>
      </w:r>
      <w:r w:rsidRPr="00D442E6">
        <w:rPr>
          <w:rFonts w:ascii="Palatino Linotype" w:eastAsia="Palatino Linotype" w:hAnsi="Palatino Linotype" w:cs="Palatino Linotype"/>
          <w:color w:val="000000"/>
          <w:sz w:val="20"/>
          <w:szCs w:val="20"/>
        </w:rPr>
        <w:t>as described by Breiman.</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{"citationID":"XzIm1MQB","properties":{"formattedCitation":"\\super 26\\nosupersub{}","plainCitation":"26","noteIndex":0},"citationItems":[{"id":4881,"uris":["http://zotero.org/users/15552969/items/6TL8G43Z"],"itemData":{"id":4881,"type":"chapter","citation-key":"bottouLargeScaleMachineLearning2010","container-title":"Proceedings of COMPSTAT'2010","DOI":"10.1007/978-3-7908-2604-3_16","ISBN":"978-3-7908-2603-6","language":"en","page":"177-186","publisher":"Physica-Verlag HD","publisher-place":"Heidelberg","source":"DOI.org (Crossref)","title":"Large-Scale Machine Learning with Stochastic Gradient Descent","URL":"http://link.springer.com/10.1007/978-3-7908-2604-3_16","editor":[{"family":"Lechevallier","given":"Yves"},{"family":"Saporta","given":"Gilbert"}],"author":[{"family":"Bottou","given":"Léon"}],"accessed":{"date-parts":[["2025",11,12]]},"issued":{"date-parts":[["2010"]]}}}],"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sidR="00943DE9" w:rsidRPr="00943DE9">
        <w:rPr>
          <w:rFonts w:ascii="Palatino Linotype" w:hAnsi="Palatino Linotype"/>
          <w:color w:val="000000"/>
          <w:sz w:val="20"/>
          <w:vertAlign w:val="superscript"/>
        </w:rPr>
        <w:t>26</w:t>
      </w:r>
      <w:r>
        <w:rPr>
          <w:rFonts w:ascii="Palatino Linotype" w:eastAsia="Palatino Linotype" w:hAnsi="Palatino Linotype" w:cs="Palatino Linotype"/>
          <w:color w:val="000000"/>
          <w:sz w:val="20"/>
          <w:szCs w:val="20"/>
        </w:rPr>
        <w:fldChar w:fldCharType="end"/>
      </w:r>
      <w:r w:rsidRPr="00D244A5">
        <w:rPr>
          <w:rFonts w:ascii="Palatino Linotype" w:eastAsia="Palatino Linotype" w:hAnsi="Palatino Linotype" w:cs="Palatino Linotype"/>
          <w:color w:val="000000"/>
          <w:sz w:val="20"/>
          <w:szCs w:val="20"/>
        </w:rPr>
        <w:t xml:space="preserve"> </w:t>
      </w:r>
      <w:r w:rsidR="00346D25" w:rsidRPr="0025759C">
        <w:rPr>
          <w:rFonts w:ascii="Palatino Linotype" w:eastAsia="Palatino Linotype" w:hAnsi="Palatino Linotype" w:cs="Palatino Linotype"/>
          <w:color w:val="000000"/>
          <w:sz w:val="20"/>
          <w:szCs w:val="20"/>
        </w:rPr>
        <w:t xml:space="preserve">Predictors were classified as noninformative if they demonstrated a mean permutation importance ≤ 0.001 or a negative mean importance value in at least two independent models (across preoperative and comprehensive tiers). </w:t>
      </w:r>
      <w:r w:rsidRPr="00D244A5">
        <w:rPr>
          <w:rFonts w:ascii="Palatino Linotype" w:eastAsia="Palatino Linotype" w:hAnsi="Palatino Linotype" w:cs="Palatino Linotype"/>
          <w:color w:val="000000"/>
          <w:sz w:val="20"/>
          <w:szCs w:val="20"/>
        </w:rPr>
        <w:t xml:space="preserve">For the classification models, predicted probabilities were obtained using the default scikit-learn threshold (0.5 for binary classification). Following the initial model training, a feature selection step was performed to retain only the variables with the highest predictive contribution. For each endpoint, the predictors were ranked according to their mean permutation importance scores obtained from the first round of </w:t>
      </w:r>
      <w:r w:rsidRPr="00EF23AA">
        <w:rPr>
          <w:rFonts w:ascii="Palatino Linotype" w:eastAsia="Palatino Linotype" w:hAnsi="Palatino Linotype" w:cs="Palatino Linotype"/>
          <w:color w:val="000000"/>
          <w:sz w:val="20"/>
          <w:szCs w:val="20"/>
        </w:rPr>
        <w:t xml:space="preserve">HGBR </w:t>
      </w:r>
      <w:r w:rsidRPr="00D244A5">
        <w:rPr>
          <w:rFonts w:ascii="Palatino Linotype" w:eastAsia="Palatino Linotype" w:hAnsi="Palatino Linotype" w:cs="Palatino Linotype"/>
          <w:color w:val="000000"/>
          <w:sz w:val="20"/>
          <w:szCs w:val="20"/>
        </w:rPr>
        <w:t xml:space="preserve">modeling. Features with consistently positive and statistically significant mean importance values (i.e., mean importance &gt; 0.01 and lower 95% CI &gt; 0) were considered informative and retained for model rebuilding. The reduced feature sets were then used to retrain </w:t>
      </w:r>
      <w:r>
        <w:rPr>
          <w:rFonts w:ascii="Palatino Linotype" w:eastAsia="Palatino Linotype" w:hAnsi="Palatino Linotype" w:cs="Palatino Linotype"/>
          <w:color w:val="000000"/>
          <w:sz w:val="20"/>
          <w:szCs w:val="20"/>
        </w:rPr>
        <w:t xml:space="preserve">all </w:t>
      </w:r>
      <w:r w:rsidRPr="00D244A5">
        <w:rPr>
          <w:rFonts w:ascii="Palatino Linotype" w:eastAsia="Palatino Linotype" w:hAnsi="Palatino Linotype" w:cs="Palatino Linotype"/>
          <w:color w:val="000000"/>
          <w:sz w:val="20"/>
          <w:szCs w:val="20"/>
        </w:rPr>
        <w:t>models</w:t>
      </w:r>
      <w:r>
        <w:rPr>
          <w:rFonts w:ascii="Palatino Linotype" w:eastAsia="Palatino Linotype" w:hAnsi="Palatino Linotype" w:cs="Palatino Linotype"/>
          <w:color w:val="000000"/>
          <w:sz w:val="20"/>
          <w:szCs w:val="20"/>
        </w:rPr>
        <w:t xml:space="preserve"> </w:t>
      </w:r>
      <w:r w:rsidRPr="00D244A5">
        <w:rPr>
          <w:rFonts w:ascii="Palatino Linotype" w:eastAsia="Palatino Linotype" w:hAnsi="Palatino Linotype" w:cs="Palatino Linotype"/>
          <w:color w:val="000000"/>
          <w:sz w:val="20"/>
          <w:szCs w:val="20"/>
        </w:rPr>
        <w:t xml:space="preserve">using the same data partitions, hyperparameter optimization grid, and cross-validation structure as in the original analysis. This secondary modeling step aimed to evaluate whether the exclusion of low-importance variables improved the model discrimination, calibration, and interpretability while preserving predictive stability. </w:t>
      </w:r>
    </w:p>
    <w:p w14:paraId="51BA122C" w14:textId="77777777" w:rsidR="00AB700A" w:rsidRPr="00D244A5" w:rsidRDefault="00AB700A" w:rsidP="00F055D8">
      <w:pPr>
        <w:pBdr>
          <w:top w:val="nil"/>
          <w:left w:val="nil"/>
          <w:bottom w:val="nil"/>
          <w:right w:val="nil"/>
          <w:between w:val="nil"/>
        </w:pBdr>
        <w:spacing w:line="360" w:lineRule="auto"/>
        <w:jc w:val="both"/>
      </w:pPr>
    </w:p>
    <w:p w14:paraId="6A57F6CD" w14:textId="452C438D" w:rsidR="00AB700A" w:rsidRPr="00D244A5" w:rsidRDefault="00AB700A" w:rsidP="00A6499B">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b/>
          <w:bCs/>
          <w:color w:val="000000"/>
          <w:sz w:val="20"/>
          <w:szCs w:val="20"/>
        </w:rPr>
        <w:t>Interpretation of Machine Learning Models</w:t>
      </w:r>
      <w:r w:rsidRPr="00D244A5">
        <w:rPr>
          <w:rFonts w:ascii="Palatino Linotype" w:eastAsia="Palatino Linotype" w:hAnsi="Palatino Linotype" w:cs="Palatino Linotype"/>
          <w:b/>
          <w:bCs/>
          <w:color w:val="000000"/>
          <w:sz w:val="20"/>
          <w:szCs w:val="20"/>
        </w:rPr>
        <w:tab/>
      </w:r>
      <w:r w:rsidRPr="00D244A5">
        <w:rPr>
          <w:rFonts w:ascii="Palatino Linotype" w:eastAsia="Palatino Linotype" w:hAnsi="Palatino Linotype" w:cs="Palatino Linotype"/>
          <w:color w:val="000000"/>
          <w:sz w:val="20"/>
          <w:szCs w:val="20"/>
        </w:rPr>
        <w:br/>
        <w:t xml:space="preserve">Machine learning models primarily serve as predictive tools; once trained on a large dataset, they can provide predictions for new individual cases or smaller datasets. To understand how different input variables contribute to the model performance, we used permutation importance, which measures the decrease in predictive accuracy (or AUC) when the values of a specific feature are randomly shuffled. Features whose permutation leads to a large drop in accuracy are those that contribute most to the model’s predictive ability, whereas features with near-zero importance mainly add to the noise. </w:t>
      </w:r>
      <w:r w:rsidRPr="00A6499B">
        <w:rPr>
          <w:rFonts w:ascii="Palatino Linotype" w:eastAsia="Palatino Linotype" w:hAnsi="Palatino Linotype" w:cs="Palatino Linotype"/>
          <w:color w:val="000000"/>
          <w:sz w:val="20"/>
          <w:szCs w:val="20"/>
        </w:rPr>
        <w:t xml:space="preserve">Importantly, features identified as influential by the model should not be interpreted as causal or independent risk factors; rather, they represent variables that are informative for assessing or predicting the risk. </w:t>
      </w:r>
      <w:r w:rsidRPr="00D244A5">
        <w:rPr>
          <w:rFonts w:ascii="Palatino Linotype" w:eastAsia="Palatino Linotype" w:hAnsi="Palatino Linotype" w:cs="Palatino Linotype"/>
          <w:color w:val="000000"/>
          <w:sz w:val="20"/>
          <w:szCs w:val="20"/>
        </w:rPr>
        <w:t>In practice, importance values of approximately 0.01–0.15 indicate moderate to strong predictors, and low standard deviations (SD &lt; 0.02) across permutations suggest stable feature relevance. Based on this information, a refined model can be built using only the most relevant predictors, resulting in a simpler model that often achieves similar or improved accuracy while requiring fewer inputs.</w:t>
      </w:r>
    </w:p>
    <w:p w14:paraId="4BA407FD" w14:textId="77777777" w:rsidR="00AB700A" w:rsidRDefault="00AB700A" w:rsidP="00F055D8">
      <w:pPr>
        <w:pBdr>
          <w:top w:val="nil"/>
          <w:left w:val="nil"/>
          <w:bottom w:val="nil"/>
          <w:right w:val="nil"/>
          <w:between w:val="nil"/>
        </w:pBdr>
        <w:spacing w:line="360" w:lineRule="auto"/>
        <w:jc w:val="both"/>
      </w:pPr>
    </w:p>
    <w:p w14:paraId="6ED355DD" w14:textId="77777777" w:rsidR="00AB700A" w:rsidRPr="005A3288" w:rsidRDefault="00AB700A" w:rsidP="006A3782">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r w:rsidRPr="006A3782">
        <w:rPr>
          <w:rFonts w:ascii="Palatino Linotype" w:eastAsia="Palatino Linotype" w:hAnsi="Palatino Linotype" w:cs="Palatino Linotype"/>
          <w:b/>
          <w:bCs/>
          <w:color w:val="000000"/>
          <w:sz w:val="20"/>
          <w:szCs w:val="20"/>
        </w:rPr>
        <w:t>Traditional statistical analysis</w:t>
      </w:r>
    </w:p>
    <w:p w14:paraId="3C920123" w14:textId="77777777" w:rsidR="00AB700A"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bookmarkStart w:id="3" w:name="_Hlk213922971"/>
      <w:r w:rsidRPr="006A3782">
        <w:rPr>
          <w:rFonts w:ascii="Palatino Linotype" w:eastAsia="Palatino Linotype" w:hAnsi="Palatino Linotype" w:cs="Palatino Linotype"/>
          <w:color w:val="000000"/>
          <w:sz w:val="20"/>
          <w:szCs w:val="20"/>
        </w:rPr>
        <w:t xml:space="preserve">We also built logistic regressions to compare the predictive abilities of our </w:t>
      </w:r>
      <w:r>
        <w:rPr>
          <w:rFonts w:ascii="Palatino Linotype" w:eastAsia="Palatino Linotype" w:hAnsi="Palatino Linotype" w:cs="Palatino Linotype"/>
          <w:color w:val="000000"/>
          <w:sz w:val="20"/>
          <w:szCs w:val="20"/>
        </w:rPr>
        <w:t>models</w:t>
      </w:r>
      <w:r w:rsidRPr="006A3782">
        <w:rPr>
          <w:rFonts w:ascii="Palatino Linotype" w:eastAsia="Palatino Linotype" w:hAnsi="Palatino Linotype" w:cs="Palatino Linotype"/>
          <w:color w:val="000000"/>
          <w:sz w:val="20"/>
          <w:szCs w:val="20"/>
        </w:rPr>
        <w:t xml:space="preserve"> with those of traditional regression‐based models.</w:t>
      </w:r>
      <w:r>
        <w:rPr>
          <w:rFonts w:ascii="Palatino Linotype" w:eastAsia="Palatino Linotype" w:hAnsi="Palatino Linotype" w:cs="Palatino Linotype"/>
          <w:color w:val="000000"/>
          <w:sz w:val="20"/>
          <w:szCs w:val="20"/>
        </w:rPr>
        <w:t xml:space="preserve"> </w:t>
      </w:r>
      <w:r w:rsidRPr="005A3288">
        <w:rPr>
          <w:rFonts w:ascii="Palatino Linotype" w:eastAsia="Palatino Linotype" w:hAnsi="Palatino Linotype" w:cs="Palatino Linotype"/>
          <w:color w:val="000000"/>
          <w:sz w:val="20"/>
          <w:szCs w:val="20"/>
        </w:rPr>
        <w:t xml:space="preserve">Continuous variables were compared using the Mann–Whitney U test. </w:t>
      </w:r>
      <w:r w:rsidRPr="005A3288">
        <w:rPr>
          <w:rFonts w:ascii="Palatino Linotype" w:eastAsia="Palatino Linotype" w:hAnsi="Palatino Linotype" w:cs="Palatino Linotype"/>
          <w:color w:val="000000"/>
          <w:sz w:val="20"/>
          <w:szCs w:val="20"/>
        </w:rPr>
        <w:lastRenderedPageBreak/>
        <w:t xml:space="preserve">Categorical variables were compared using Pearson’s χ2 test. Statistical analysis was performed using open-source statistical tools in SciPy (SciPy </w:t>
      </w:r>
      <w:proofErr w:type="spellStart"/>
      <w:r w:rsidRPr="005A3288">
        <w:rPr>
          <w:rFonts w:ascii="Palatino Linotype" w:eastAsia="Palatino Linotype" w:hAnsi="Palatino Linotype" w:cs="Palatino Linotype"/>
          <w:color w:val="000000"/>
          <w:sz w:val="20"/>
          <w:szCs w:val="20"/>
        </w:rPr>
        <w:t>ver</w:t>
      </w:r>
      <w:proofErr w:type="spellEnd"/>
      <w:r w:rsidRPr="005A3288">
        <w:rPr>
          <w:rFonts w:ascii="Palatino Linotype" w:eastAsia="Palatino Linotype" w:hAnsi="Palatino Linotype" w:cs="Palatino Linotype"/>
          <w:color w:val="000000"/>
          <w:sz w:val="20"/>
          <w:szCs w:val="20"/>
        </w:rPr>
        <w:t xml:space="preserve"> 0.17).</w:t>
      </w:r>
    </w:p>
    <w:bookmarkEnd w:id="3"/>
    <w:p w14:paraId="48426D50" w14:textId="77777777" w:rsidR="00AB700A" w:rsidRPr="005A3288"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3768687C" w14:textId="77777777" w:rsidR="00AB700A" w:rsidRPr="00D244A5" w:rsidRDefault="00AB700A" w:rsidP="00F055D8">
      <w:pPr>
        <w:pBdr>
          <w:top w:val="nil"/>
          <w:left w:val="nil"/>
          <w:bottom w:val="nil"/>
          <w:right w:val="nil"/>
          <w:between w:val="nil"/>
        </w:pBdr>
        <w:spacing w:before="240" w:after="60" w:line="360" w:lineRule="auto"/>
        <w:jc w:val="both"/>
        <w:rPr>
          <w:rFonts w:ascii="Palatino Linotype" w:eastAsia="Palatino Linotype" w:hAnsi="Palatino Linotype" w:cs="Palatino Linotype"/>
          <w:b/>
          <w:color w:val="000000"/>
        </w:rPr>
      </w:pPr>
      <w:r w:rsidRPr="00D244A5">
        <w:rPr>
          <w:rFonts w:ascii="Palatino Linotype" w:eastAsia="Palatino Linotype" w:hAnsi="Palatino Linotype" w:cs="Palatino Linotype"/>
          <w:b/>
          <w:color w:val="000000"/>
        </w:rPr>
        <w:t>Results</w:t>
      </w:r>
    </w:p>
    <w:p w14:paraId="3B7D2F65"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bookmarkStart w:id="4" w:name="OLE_LINK1"/>
      <w:r w:rsidRPr="00D244A5">
        <w:rPr>
          <w:rFonts w:ascii="Palatino Linotype" w:eastAsia="Palatino Linotype" w:hAnsi="Palatino Linotype" w:cs="Palatino Linotype"/>
          <w:b/>
          <w:bCs/>
          <w:color w:val="000000"/>
          <w:sz w:val="20"/>
          <w:szCs w:val="20"/>
        </w:rPr>
        <w:t>Study Cohort</w:t>
      </w:r>
    </w:p>
    <w:p w14:paraId="19C559A8" w14:textId="77777777" w:rsidR="0077658E" w:rsidRDefault="006A4215" w:rsidP="003C239A">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6A4215">
        <w:rPr>
          <w:rFonts w:eastAsia="Palatino Linotype"/>
          <w:color w:val="000000"/>
          <w:sz w:val="20"/>
          <w:szCs w:val="20"/>
        </w:rPr>
        <w:t>T</w:t>
      </w:r>
      <w:r w:rsidRPr="00AA7C0E">
        <w:rPr>
          <w:rFonts w:ascii="Palatino Linotype" w:eastAsia="Palatino Linotype" w:hAnsi="Palatino Linotype" w:cs="Palatino Linotype"/>
          <w:b/>
          <w:bCs/>
          <w:color w:val="000000"/>
          <w:sz w:val="20"/>
          <w:szCs w:val="20"/>
        </w:rPr>
        <w:t xml:space="preserve">able 1 </w:t>
      </w:r>
      <w:r w:rsidRPr="006A4215">
        <w:rPr>
          <w:rFonts w:ascii="Palatino Linotype" w:eastAsia="Palatino Linotype" w:hAnsi="Palatino Linotype" w:cs="Palatino Linotype"/>
          <w:color w:val="000000"/>
          <w:sz w:val="20"/>
          <w:szCs w:val="20"/>
        </w:rPr>
        <w:t>demonstrates the demographic and clinical characteristics of our patient cohort.</w:t>
      </w:r>
      <w:r>
        <w:rPr>
          <w:rFonts w:ascii="Palatino Linotype" w:eastAsia="Palatino Linotype" w:hAnsi="Palatino Linotype" w:cs="Palatino Linotype"/>
          <w:color w:val="000000"/>
          <w:sz w:val="20"/>
          <w:szCs w:val="20"/>
        </w:rPr>
        <w:t xml:space="preserve"> </w:t>
      </w:r>
    </w:p>
    <w:p w14:paraId="70626483" w14:textId="53675C57" w:rsidR="0077658E" w:rsidRDefault="0077658E" w:rsidP="003C239A">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 xml:space="preserve">The study cohort consisted of </w:t>
      </w:r>
      <w:r>
        <w:rPr>
          <w:rFonts w:ascii="Palatino Linotype" w:eastAsia="Palatino Linotype" w:hAnsi="Palatino Linotype" w:cs="Palatino Linotype"/>
          <w:color w:val="000000"/>
          <w:sz w:val="20"/>
          <w:szCs w:val="20"/>
        </w:rPr>
        <w:t>731</w:t>
      </w:r>
      <w:r w:rsidRPr="00F94B9E">
        <w:rPr>
          <w:rFonts w:ascii="Palatino Linotype" w:eastAsia="Palatino Linotype" w:hAnsi="Palatino Linotype" w:cs="Palatino Linotype"/>
          <w:color w:val="000000"/>
          <w:sz w:val="20"/>
          <w:szCs w:val="20"/>
        </w:rPr>
        <w:t xml:space="preserve"> patients who received treatment at four centers: Bologna (n=</w:t>
      </w:r>
      <w:r w:rsidR="0077591F">
        <w:rPr>
          <w:rFonts w:ascii="Palatino Linotype" w:eastAsia="Palatino Linotype" w:hAnsi="Palatino Linotype" w:cs="Palatino Linotype"/>
          <w:color w:val="000000"/>
          <w:sz w:val="20"/>
          <w:szCs w:val="20"/>
        </w:rPr>
        <w:t>300</w:t>
      </w:r>
      <w:r w:rsidRPr="00F94B9E">
        <w:rPr>
          <w:rFonts w:ascii="Palatino Linotype" w:eastAsia="Palatino Linotype" w:hAnsi="Palatino Linotype" w:cs="Palatino Linotype"/>
          <w:color w:val="000000"/>
          <w:sz w:val="20"/>
          <w:szCs w:val="20"/>
        </w:rPr>
        <w:t>), Cesena (n=</w:t>
      </w:r>
      <w:r w:rsidR="0077591F">
        <w:rPr>
          <w:rFonts w:ascii="Palatino Linotype" w:eastAsia="Palatino Linotype" w:hAnsi="Palatino Linotype" w:cs="Palatino Linotype"/>
          <w:color w:val="000000"/>
          <w:sz w:val="20"/>
          <w:szCs w:val="20"/>
        </w:rPr>
        <w:t>229</w:t>
      </w:r>
      <w:r w:rsidRPr="00F94B9E">
        <w:rPr>
          <w:rFonts w:ascii="Palatino Linotype" w:eastAsia="Palatino Linotype" w:hAnsi="Palatino Linotype" w:cs="Palatino Linotype"/>
          <w:color w:val="000000"/>
          <w:sz w:val="20"/>
          <w:szCs w:val="20"/>
        </w:rPr>
        <w:t>), Liverpool (n=</w:t>
      </w:r>
      <w:r w:rsidR="0077591F">
        <w:rPr>
          <w:rFonts w:ascii="Palatino Linotype" w:eastAsia="Palatino Linotype" w:hAnsi="Palatino Linotype" w:cs="Palatino Linotype"/>
          <w:color w:val="000000"/>
          <w:sz w:val="20"/>
          <w:szCs w:val="20"/>
        </w:rPr>
        <w:t>137</w:t>
      </w:r>
      <w:r w:rsidRPr="00F94B9E">
        <w:rPr>
          <w:rFonts w:ascii="Palatino Linotype" w:eastAsia="Palatino Linotype" w:hAnsi="Palatino Linotype" w:cs="Palatino Linotype"/>
          <w:color w:val="000000"/>
          <w:sz w:val="20"/>
          <w:szCs w:val="20"/>
        </w:rPr>
        <w:t>), and China (n=</w:t>
      </w:r>
      <w:r w:rsidR="0077591F">
        <w:rPr>
          <w:rFonts w:ascii="Palatino Linotype" w:eastAsia="Palatino Linotype" w:hAnsi="Palatino Linotype" w:cs="Palatino Linotype"/>
          <w:color w:val="000000"/>
          <w:sz w:val="20"/>
          <w:szCs w:val="20"/>
        </w:rPr>
        <w:t>65</w:t>
      </w:r>
      <w:r w:rsidRPr="00F94B9E">
        <w:rPr>
          <w:rFonts w:ascii="Palatino Linotype" w:eastAsia="Palatino Linotype" w:hAnsi="Palatino Linotype" w:cs="Palatino Linotype"/>
          <w:color w:val="000000"/>
          <w:sz w:val="20"/>
          <w:szCs w:val="20"/>
        </w:rPr>
        <w:t>).</w:t>
      </w:r>
    </w:p>
    <w:p w14:paraId="3A30193F" w14:textId="1FE51C06" w:rsidR="0077591F" w:rsidRDefault="0077591F" w:rsidP="003C239A">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Of these patients,</w:t>
      </w:r>
      <w:r w:rsidR="00AB700A" w:rsidRPr="00D244A5">
        <w:rPr>
          <w:rFonts w:ascii="Palatino Linotype" w:eastAsia="Palatino Linotype" w:hAnsi="Palatino Linotype" w:cs="Palatino Linotype"/>
          <w:color w:val="000000"/>
          <w:sz w:val="20"/>
          <w:szCs w:val="20"/>
        </w:rPr>
        <w:t xml:space="preserve"> </w:t>
      </w:r>
      <w:r w:rsidR="00EA0F33">
        <w:rPr>
          <w:rFonts w:ascii="Palatino Linotype" w:eastAsia="Palatino Linotype" w:hAnsi="Palatino Linotype" w:cs="Palatino Linotype"/>
          <w:color w:val="000000"/>
          <w:sz w:val="20"/>
          <w:szCs w:val="20"/>
        </w:rPr>
        <w:t>527</w:t>
      </w:r>
      <w:r w:rsidR="00AB700A" w:rsidRPr="00D244A5">
        <w:rPr>
          <w:rFonts w:ascii="Palatino Linotype" w:eastAsia="Palatino Linotype" w:hAnsi="Palatino Linotype" w:cs="Palatino Linotype"/>
          <w:color w:val="000000"/>
          <w:sz w:val="20"/>
          <w:szCs w:val="20"/>
        </w:rPr>
        <w:t xml:space="preserve"> (</w:t>
      </w:r>
      <w:r w:rsidR="00EA0F33">
        <w:rPr>
          <w:rFonts w:ascii="Palatino Linotype" w:eastAsia="Palatino Linotype" w:hAnsi="Palatino Linotype" w:cs="Palatino Linotype"/>
          <w:color w:val="000000"/>
          <w:sz w:val="20"/>
          <w:szCs w:val="20"/>
        </w:rPr>
        <w:t>72.1</w:t>
      </w:r>
      <w:r w:rsidRPr="00D244A5">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000000"/>
          <w:sz w:val="20"/>
          <w:szCs w:val="20"/>
        </w:rPr>
        <w:t xml:space="preserve">were female, </w:t>
      </w:r>
      <w:r w:rsidR="00AB700A" w:rsidRPr="00D244A5">
        <w:rPr>
          <w:rFonts w:ascii="Palatino Linotype" w:eastAsia="Palatino Linotype" w:hAnsi="Palatino Linotype" w:cs="Palatino Linotype"/>
          <w:color w:val="000000"/>
          <w:sz w:val="20"/>
          <w:szCs w:val="20"/>
        </w:rPr>
        <w:t xml:space="preserve">and </w:t>
      </w:r>
      <w:r w:rsidR="00EA0F33">
        <w:rPr>
          <w:rFonts w:ascii="Palatino Linotype" w:eastAsia="Palatino Linotype" w:hAnsi="Palatino Linotype" w:cs="Palatino Linotype"/>
          <w:color w:val="000000"/>
          <w:sz w:val="20"/>
          <w:szCs w:val="20"/>
        </w:rPr>
        <w:t>204</w:t>
      </w:r>
      <w:r>
        <w:rPr>
          <w:rFonts w:ascii="Palatino Linotype" w:eastAsia="Palatino Linotype" w:hAnsi="Palatino Linotype" w:cs="Palatino Linotype"/>
          <w:color w:val="000000"/>
          <w:sz w:val="20"/>
          <w:szCs w:val="20"/>
        </w:rPr>
        <w:t xml:space="preserve"> </w:t>
      </w:r>
      <w:r w:rsidR="00AB700A" w:rsidRPr="00D244A5">
        <w:rPr>
          <w:rFonts w:ascii="Palatino Linotype" w:eastAsia="Palatino Linotype" w:hAnsi="Palatino Linotype" w:cs="Palatino Linotype"/>
          <w:color w:val="000000"/>
          <w:sz w:val="20"/>
          <w:szCs w:val="20"/>
        </w:rPr>
        <w:t>(2</w:t>
      </w:r>
      <w:r w:rsidR="00EA0F33">
        <w:rPr>
          <w:rFonts w:ascii="Palatino Linotype" w:eastAsia="Palatino Linotype" w:hAnsi="Palatino Linotype" w:cs="Palatino Linotype"/>
          <w:color w:val="000000"/>
          <w:sz w:val="20"/>
          <w:szCs w:val="20"/>
        </w:rPr>
        <w:t>7.9</w:t>
      </w:r>
      <w:r w:rsidR="00AB700A" w:rsidRPr="00D244A5">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were men</w:t>
      </w:r>
      <w:r w:rsidR="00B76E9E">
        <w:rPr>
          <w:rFonts w:ascii="Palatino Linotype" w:eastAsia="Palatino Linotype" w:hAnsi="Palatino Linotype" w:cs="Palatino Linotype"/>
          <w:color w:val="000000"/>
          <w:sz w:val="20"/>
          <w:szCs w:val="20"/>
        </w:rPr>
        <w:t xml:space="preserve">, with a </w:t>
      </w:r>
      <w:r w:rsidR="00AB700A" w:rsidRPr="00D244A5">
        <w:rPr>
          <w:rFonts w:ascii="Palatino Linotype" w:eastAsia="Palatino Linotype" w:hAnsi="Palatino Linotype" w:cs="Palatino Linotype"/>
          <w:color w:val="000000"/>
          <w:sz w:val="20"/>
          <w:szCs w:val="20"/>
        </w:rPr>
        <w:t xml:space="preserve">mean age </w:t>
      </w:r>
      <w:r w:rsidR="00E720BA">
        <w:rPr>
          <w:rFonts w:ascii="Palatino Linotype" w:eastAsia="Palatino Linotype" w:hAnsi="Palatino Linotype" w:cs="Palatino Linotype"/>
          <w:color w:val="000000"/>
          <w:sz w:val="20"/>
          <w:szCs w:val="20"/>
        </w:rPr>
        <w:t>at</w:t>
      </w:r>
      <w:r w:rsidR="00AB700A" w:rsidRPr="00D244A5">
        <w:rPr>
          <w:rFonts w:ascii="Palatino Linotype" w:eastAsia="Palatino Linotype" w:hAnsi="Palatino Linotype" w:cs="Palatino Linotype"/>
          <w:color w:val="000000"/>
          <w:sz w:val="20"/>
          <w:szCs w:val="20"/>
        </w:rPr>
        <w:t xml:space="preserve"> the time </w:t>
      </w:r>
      <w:r w:rsidR="00E720BA">
        <w:rPr>
          <w:rFonts w:ascii="Palatino Linotype" w:eastAsia="Palatino Linotype" w:hAnsi="Palatino Linotype" w:cs="Palatino Linotype"/>
          <w:color w:val="000000"/>
          <w:sz w:val="20"/>
          <w:szCs w:val="20"/>
        </w:rPr>
        <w:t xml:space="preserve">of surgery </w:t>
      </w:r>
      <w:r w:rsidR="00AB700A" w:rsidRPr="00D244A5">
        <w:rPr>
          <w:rFonts w:ascii="Palatino Linotype" w:eastAsia="Palatino Linotype" w:hAnsi="Palatino Linotype" w:cs="Palatino Linotype"/>
          <w:color w:val="000000"/>
          <w:sz w:val="20"/>
          <w:szCs w:val="20"/>
        </w:rPr>
        <w:t>of 5</w:t>
      </w:r>
      <w:r w:rsidR="00EA0F33">
        <w:rPr>
          <w:rFonts w:ascii="Palatino Linotype" w:eastAsia="Palatino Linotype" w:hAnsi="Palatino Linotype" w:cs="Palatino Linotype"/>
          <w:color w:val="000000"/>
          <w:sz w:val="20"/>
          <w:szCs w:val="20"/>
        </w:rPr>
        <w:t>9.6</w:t>
      </w:r>
      <w:r w:rsidR="00AB700A" w:rsidRPr="00D244A5">
        <w:rPr>
          <w:rFonts w:ascii="Palatino Linotype" w:eastAsia="Palatino Linotype" w:hAnsi="Palatino Linotype" w:cs="Palatino Linotype"/>
          <w:color w:val="000000"/>
          <w:sz w:val="20"/>
          <w:szCs w:val="20"/>
        </w:rPr>
        <w:t xml:space="preserve"> (5</w:t>
      </w:r>
      <w:r w:rsidR="00EA0F33">
        <w:rPr>
          <w:rFonts w:ascii="Palatino Linotype" w:eastAsia="Palatino Linotype" w:hAnsi="Palatino Linotype" w:cs="Palatino Linotype"/>
          <w:color w:val="000000"/>
          <w:sz w:val="20"/>
          <w:szCs w:val="20"/>
        </w:rPr>
        <w:t>9.6</w:t>
      </w:r>
      <w:r w:rsidR="00AB700A" w:rsidRPr="003C239A">
        <w:rPr>
          <w:rFonts w:ascii="Palatino Linotype" w:eastAsia="Palatino Linotype" w:hAnsi="Palatino Linotype" w:cs="Palatino Linotype"/>
          <w:color w:val="000000"/>
          <w:sz w:val="20"/>
          <w:szCs w:val="20"/>
        </w:rPr>
        <w:t xml:space="preserve"> ±</w:t>
      </w:r>
      <w:r w:rsidR="00AB700A" w:rsidRPr="00D244A5">
        <w:rPr>
          <w:rFonts w:ascii="Palatino Linotype" w:eastAsia="Palatino Linotype" w:hAnsi="Palatino Linotype" w:cs="Palatino Linotype"/>
          <w:color w:val="000000"/>
          <w:sz w:val="20"/>
          <w:szCs w:val="20"/>
        </w:rPr>
        <w:t xml:space="preserve"> 1</w:t>
      </w:r>
      <w:r w:rsidR="00EA0F33">
        <w:rPr>
          <w:rFonts w:ascii="Palatino Linotype" w:eastAsia="Palatino Linotype" w:hAnsi="Palatino Linotype" w:cs="Palatino Linotype"/>
          <w:color w:val="000000"/>
          <w:sz w:val="20"/>
          <w:szCs w:val="20"/>
        </w:rPr>
        <w:t>2.4</w:t>
      </w:r>
      <w:r w:rsidR="00AB700A" w:rsidRPr="00D244A5">
        <w:rPr>
          <w:rFonts w:ascii="Palatino Linotype" w:eastAsia="Palatino Linotype" w:hAnsi="Palatino Linotype" w:cs="Palatino Linotype"/>
          <w:color w:val="000000"/>
          <w:sz w:val="20"/>
          <w:szCs w:val="20"/>
        </w:rPr>
        <w:t xml:space="preserve"> years)</w:t>
      </w:r>
      <w:r w:rsidR="00E720BA">
        <w:rPr>
          <w:rFonts w:ascii="Palatino Linotype" w:eastAsia="Palatino Linotype" w:hAnsi="Palatino Linotype" w:cs="Palatino Linotype"/>
          <w:color w:val="000000"/>
          <w:sz w:val="20"/>
          <w:szCs w:val="20"/>
        </w:rPr>
        <w:t xml:space="preserve">. </w:t>
      </w:r>
      <w:r w:rsidRPr="00D244A5">
        <w:rPr>
          <w:rFonts w:ascii="Palatino Linotype" w:eastAsia="Palatino Linotype" w:hAnsi="Palatino Linotype" w:cs="Palatino Linotype"/>
          <w:color w:val="000000"/>
          <w:sz w:val="20"/>
          <w:szCs w:val="20"/>
        </w:rPr>
        <w:t>Two-thirds of the patients (</w:t>
      </w:r>
      <w:r w:rsidR="00B76E9E">
        <w:rPr>
          <w:rFonts w:ascii="Palatino Linotype" w:eastAsia="Palatino Linotype" w:hAnsi="Palatino Linotype" w:cs="Palatino Linotype"/>
          <w:color w:val="000000"/>
          <w:sz w:val="20"/>
          <w:szCs w:val="20"/>
        </w:rPr>
        <w:t xml:space="preserve">516 patients, </w:t>
      </w:r>
      <w:r w:rsidRPr="00D244A5">
        <w:rPr>
          <w:rFonts w:ascii="Palatino Linotype" w:eastAsia="Palatino Linotype" w:hAnsi="Palatino Linotype" w:cs="Palatino Linotype"/>
          <w:color w:val="000000"/>
          <w:sz w:val="20"/>
          <w:szCs w:val="20"/>
        </w:rPr>
        <w:t>7</w:t>
      </w:r>
      <w:r>
        <w:rPr>
          <w:rFonts w:ascii="Palatino Linotype" w:eastAsia="Palatino Linotype" w:hAnsi="Palatino Linotype" w:cs="Palatino Linotype"/>
          <w:color w:val="000000"/>
          <w:sz w:val="20"/>
          <w:szCs w:val="20"/>
        </w:rPr>
        <w:t>0.6</w:t>
      </w:r>
      <w:r w:rsidRPr="00D244A5">
        <w:rPr>
          <w:rFonts w:ascii="Palatino Linotype" w:eastAsia="Palatino Linotype" w:hAnsi="Palatino Linotype" w:cs="Palatino Linotype"/>
          <w:color w:val="000000"/>
          <w:sz w:val="20"/>
          <w:szCs w:val="20"/>
        </w:rPr>
        <w:t xml:space="preserve">%) had comorbid conditions, most commonly </w:t>
      </w:r>
      <w:r>
        <w:rPr>
          <w:rFonts w:ascii="Palatino Linotype" w:eastAsia="Palatino Linotype" w:hAnsi="Palatino Linotype" w:cs="Palatino Linotype"/>
          <w:color w:val="000000"/>
          <w:sz w:val="20"/>
          <w:szCs w:val="20"/>
        </w:rPr>
        <w:t>cardiorespiratory disease</w:t>
      </w:r>
      <w:r w:rsidRPr="00D244A5">
        <w:rPr>
          <w:rFonts w:ascii="Palatino Linotype" w:eastAsia="Palatino Linotype" w:hAnsi="Palatino Linotype" w:cs="Palatino Linotype"/>
          <w:color w:val="000000"/>
          <w:sz w:val="20"/>
          <w:szCs w:val="20"/>
        </w:rPr>
        <w:t xml:space="preserve"> (</w:t>
      </w:r>
      <w:r w:rsidR="00B76E9E">
        <w:rPr>
          <w:rFonts w:ascii="Palatino Linotype" w:eastAsia="Palatino Linotype" w:hAnsi="Palatino Linotype" w:cs="Palatino Linotype"/>
          <w:color w:val="000000"/>
          <w:sz w:val="20"/>
          <w:szCs w:val="20"/>
        </w:rPr>
        <w:t xml:space="preserve">236 patients, </w:t>
      </w:r>
      <w:r w:rsidRPr="00D244A5">
        <w:rPr>
          <w:rFonts w:ascii="Palatino Linotype" w:eastAsia="Palatino Linotype" w:hAnsi="Palatino Linotype" w:cs="Palatino Linotype"/>
          <w:color w:val="000000"/>
          <w:sz w:val="20"/>
          <w:szCs w:val="20"/>
        </w:rPr>
        <w:t>3</w:t>
      </w:r>
      <w:r>
        <w:rPr>
          <w:rFonts w:ascii="Palatino Linotype" w:eastAsia="Palatino Linotype" w:hAnsi="Palatino Linotype" w:cs="Palatino Linotype"/>
          <w:color w:val="000000"/>
          <w:sz w:val="20"/>
          <w:szCs w:val="20"/>
        </w:rPr>
        <w:t>2.3</w:t>
      </w:r>
      <w:r w:rsidRPr="00D244A5">
        <w:rPr>
          <w:rFonts w:ascii="Palatino Linotype" w:eastAsia="Palatino Linotype" w:hAnsi="Palatino Linotype" w:cs="Palatino Linotype"/>
          <w:color w:val="000000"/>
          <w:sz w:val="20"/>
          <w:szCs w:val="20"/>
        </w:rPr>
        <w:t xml:space="preserve">%), followed by </w:t>
      </w:r>
      <w:r>
        <w:rPr>
          <w:rFonts w:ascii="Palatino Linotype" w:eastAsia="Palatino Linotype" w:hAnsi="Palatino Linotype" w:cs="Palatino Linotype"/>
          <w:color w:val="000000"/>
          <w:sz w:val="20"/>
          <w:szCs w:val="20"/>
        </w:rPr>
        <w:t>hypertension</w:t>
      </w:r>
      <w:r w:rsidRPr="00D244A5">
        <w:rPr>
          <w:rFonts w:ascii="Palatino Linotype" w:eastAsia="Palatino Linotype" w:hAnsi="Palatino Linotype" w:cs="Palatino Linotype"/>
          <w:color w:val="000000"/>
          <w:sz w:val="20"/>
          <w:szCs w:val="20"/>
        </w:rPr>
        <w:t xml:space="preserve"> (</w:t>
      </w:r>
      <w:r w:rsidR="00B76E9E">
        <w:rPr>
          <w:rFonts w:ascii="Palatino Linotype" w:eastAsia="Palatino Linotype" w:hAnsi="Palatino Linotype" w:cs="Palatino Linotype"/>
          <w:color w:val="000000"/>
          <w:sz w:val="20"/>
          <w:szCs w:val="20"/>
        </w:rPr>
        <w:t xml:space="preserve">125 patients, </w:t>
      </w:r>
      <w:r w:rsidRPr="00D244A5">
        <w:rPr>
          <w:rFonts w:ascii="Palatino Linotype" w:eastAsia="Palatino Linotype" w:hAnsi="Palatino Linotype" w:cs="Palatino Linotype"/>
          <w:color w:val="000000"/>
          <w:sz w:val="20"/>
          <w:szCs w:val="20"/>
        </w:rPr>
        <w:t>1</w:t>
      </w:r>
      <w:r>
        <w:rPr>
          <w:rFonts w:ascii="Palatino Linotype" w:eastAsia="Palatino Linotype" w:hAnsi="Palatino Linotype" w:cs="Palatino Linotype"/>
          <w:color w:val="000000"/>
          <w:sz w:val="20"/>
          <w:szCs w:val="20"/>
        </w:rPr>
        <w:t>7</w:t>
      </w:r>
      <w:r w:rsidRPr="00D244A5">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1</w:t>
      </w:r>
      <w:r w:rsidRPr="00D244A5">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000000"/>
          <w:sz w:val="20"/>
          <w:szCs w:val="20"/>
        </w:rPr>
        <w:t>other neoplasms</w:t>
      </w:r>
      <w:r w:rsidRPr="00D244A5">
        <w:rPr>
          <w:rFonts w:ascii="Palatino Linotype" w:eastAsia="Palatino Linotype" w:hAnsi="Palatino Linotype" w:cs="Palatino Linotype"/>
          <w:color w:val="000000"/>
          <w:sz w:val="20"/>
          <w:szCs w:val="20"/>
        </w:rPr>
        <w:t xml:space="preserve"> (</w:t>
      </w:r>
      <w:r w:rsidR="00B76E9E">
        <w:rPr>
          <w:rFonts w:ascii="Palatino Linotype" w:eastAsia="Palatino Linotype" w:hAnsi="Palatino Linotype" w:cs="Palatino Linotype"/>
          <w:color w:val="000000"/>
          <w:sz w:val="20"/>
          <w:szCs w:val="20"/>
        </w:rPr>
        <w:t xml:space="preserve">112 patients, </w:t>
      </w:r>
      <w:r w:rsidRPr="00D244A5">
        <w:rPr>
          <w:rFonts w:ascii="Palatino Linotype" w:eastAsia="Palatino Linotype" w:hAnsi="Palatino Linotype" w:cs="Palatino Linotype"/>
          <w:color w:val="000000"/>
          <w:sz w:val="20"/>
          <w:szCs w:val="20"/>
        </w:rPr>
        <w:t>1</w:t>
      </w:r>
      <w:r>
        <w:rPr>
          <w:rFonts w:ascii="Palatino Linotype" w:eastAsia="Palatino Linotype" w:hAnsi="Palatino Linotype" w:cs="Palatino Linotype"/>
          <w:color w:val="000000"/>
          <w:sz w:val="20"/>
          <w:szCs w:val="20"/>
        </w:rPr>
        <w:t>5</w:t>
      </w:r>
      <w:r w:rsidRPr="00D244A5">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3</w:t>
      </w:r>
      <w:r w:rsidRPr="00D244A5">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000000"/>
          <w:sz w:val="20"/>
          <w:szCs w:val="20"/>
        </w:rPr>
        <w:t xml:space="preserve">hyperlipidemia </w:t>
      </w:r>
      <w:r w:rsidRPr="00D244A5">
        <w:rPr>
          <w:rFonts w:ascii="Palatino Linotype" w:eastAsia="Palatino Linotype" w:hAnsi="Palatino Linotype" w:cs="Palatino Linotype"/>
          <w:color w:val="000000"/>
          <w:sz w:val="20"/>
          <w:szCs w:val="20"/>
        </w:rPr>
        <w:t>(</w:t>
      </w:r>
      <w:r w:rsidR="00B76E9E">
        <w:rPr>
          <w:rFonts w:ascii="Palatino Linotype" w:eastAsia="Palatino Linotype" w:hAnsi="Palatino Linotype" w:cs="Palatino Linotype"/>
          <w:color w:val="000000"/>
          <w:sz w:val="20"/>
          <w:szCs w:val="20"/>
        </w:rPr>
        <w:t xml:space="preserve">106 patients, </w:t>
      </w:r>
      <w:r w:rsidRPr="00D244A5">
        <w:rPr>
          <w:rFonts w:ascii="Palatino Linotype" w:eastAsia="Palatino Linotype" w:hAnsi="Palatino Linotype" w:cs="Palatino Linotype"/>
          <w:color w:val="000000"/>
          <w:sz w:val="20"/>
          <w:szCs w:val="20"/>
        </w:rPr>
        <w:t>1</w:t>
      </w:r>
      <w:r>
        <w:rPr>
          <w:rFonts w:ascii="Palatino Linotype" w:eastAsia="Palatino Linotype" w:hAnsi="Palatino Linotype" w:cs="Palatino Linotype"/>
          <w:color w:val="000000"/>
          <w:sz w:val="20"/>
          <w:szCs w:val="20"/>
        </w:rPr>
        <w:t>4</w:t>
      </w:r>
      <w:r w:rsidRPr="00D244A5">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5</w:t>
      </w:r>
      <w:r w:rsidRPr="00D244A5">
        <w:rPr>
          <w:rFonts w:ascii="Palatino Linotype" w:eastAsia="Palatino Linotype" w:hAnsi="Palatino Linotype" w:cs="Palatino Linotype"/>
          <w:color w:val="000000"/>
          <w:sz w:val="20"/>
          <w:szCs w:val="20"/>
        </w:rPr>
        <w:t xml:space="preserve">%), and </w:t>
      </w:r>
      <w:r>
        <w:rPr>
          <w:rFonts w:ascii="Palatino Linotype" w:eastAsia="Palatino Linotype" w:hAnsi="Palatino Linotype" w:cs="Palatino Linotype"/>
          <w:color w:val="000000"/>
          <w:sz w:val="20"/>
          <w:szCs w:val="20"/>
        </w:rPr>
        <w:t>diabetes mellitus</w:t>
      </w:r>
      <w:r w:rsidRPr="00D244A5">
        <w:rPr>
          <w:rFonts w:ascii="Palatino Linotype" w:eastAsia="Palatino Linotype" w:hAnsi="Palatino Linotype" w:cs="Palatino Linotype"/>
          <w:color w:val="000000"/>
          <w:sz w:val="20"/>
          <w:szCs w:val="20"/>
        </w:rPr>
        <w:t xml:space="preserve"> (</w:t>
      </w:r>
      <w:r w:rsidR="00B76E9E">
        <w:rPr>
          <w:rFonts w:ascii="Palatino Linotype" w:eastAsia="Palatino Linotype" w:hAnsi="Palatino Linotype" w:cs="Palatino Linotype"/>
          <w:color w:val="000000"/>
          <w:sz w:val="20"/>
          <w:szCs w:val="20"/>
        </w:rPr>
        <w:t xml:space="preserve">72 patients, </w:t>
      </w:r>
      <w:r>
        <w:rPr>
          <w:rFonts w:ascii="Palatino Linotype" w:eastAsia="Palatino Linotype" w:hAnsi="Palatino Linotype" w:cs="Palatino Linotype"/>
          <w:color w:val="000000"/>
          <w:sz w:val="20"/>
          <w:szCs w:val="20"/>
        </w:rPr>
        <w:t>9.85</w:t>
      </w:r>
      <w:r w:rsidRPr="00D244A5">
        <w:rPr>
          <w:rFonts w:ascii="Palatino Linotype" w:eastAsia="Palatino Linotype" w:hAnsi="Palatino Linotype" w:cs="Palatino Linotype"/>
          <w:color w:val="000000"/>
          <w:sz w:val="20"/>
          <w:szCs w:val="20"/>
        </w:rPr>
        <w:t xml:space="preserve">%). </w:t>
      </w:r>
      <w:r w:rsidRPr="00F94B9E">
        <w:rPr>
          <w:rFonts w:ascii="Palatino Linotype" w:eastAsia="Palatino Linotype" w:hAnsi="Palatino Linotype" w:cs="Palatino Linotype"/>
          <w:color w:val="000000"/>
          <w:sz w:val="20"/>
          <w:szCs w:val="20"/>
        </w:rPr>
        <w:t>The comorbidity burden, evaluated using the Charlson Comorbidity Index (CCI), exhibited variation across the centers (</w:t>
      </w:r>
      <w:r w:rsidRPr="00E720BA">
        <w:rPr>
          <w:rFonts w:ascii="Palatino Linotype" w:eastAsia="Palatino Linotype" w:hAnsi="Palatino Linotype" w:cs="Palatino Linotype"/>
          <w:color w:val="000000"/>
          <w:sz w:val="20"/>
          <w:szCs w:val="20"/>
          <w:shd w:val="clear" w:color="auto" w:fill="FFFF00"/>
        </w:rPr>
        <w:t>Supplementary Table S1</w:t>
      </w:r>
      <w:r w:rsidRPr="00F94B9E">
        <w:rPr>
          <w:rFonts w:ascii="Palatino Linotype" w:eastAsia="Palatino Linotype" w:hAnsi="Palatino Linotype" w:cs="Palatino Linotype"/>
          <w:color w:val="000000"/>
          <w:sz w:val="20"/>
          <w:szCs w:val="20"/>
        </w:rPr>
        <w:t xml:space="preserve">). Specifically, </w:t>
      </w:r>
      <w:r>
        <w:rPr>
          <w:rFonts w:ascii="Palatino Linotype" w:eastAsia="Palatino Linotype" w:hAnsi="Palatino Linotype" w:cs="Palatino Linotype"/>
          <w:color w:val="000000"/>
          <w:sz w:val="20"/>
          <w:szCs w:val="20"/>
        </w:rPr>
        <w:t>434</w:t>
      </w:r>
      <w:r w:rsidRPr="00F94B9E">
        <w:rPr>
          <w:rFonts w:ascii="Palatino Linotype" w:eastAsia="Palatino Linotype" w:hAnsi="Palatino Linotype" w:cs="Palatino Linotype"/>
          <w:color w:val="000000"/>
          <w:sz w:val="20"/>
          <w:szCs w:val="20"/>
        </w:rPr>
        <w:t xml:space="preserve"> patients (5</w:t>
      </w:r>
      <w:r>
        <w:rPr>
          <w:rFonts w:ascii="Palatino Linotype" w:eastAsia="Palatino Linotype" w:hAnsi="Palatino Linotype" w:cs="Palatino Linotype"/>
          <w:color w:val="000000"/>
          <w:sz w:val="20"/>
          <w:szCs w:val="20"/>
        </w:rPr>
        <w:t>9</w:t>
      </w:r>
      <w:r w:rsidRPr="00F94B9E">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4</w:t>
      </w:r>
      <w:r w:rsidRPr="00F94B9E">
        <w:rPr>
          <w:rFonts w:ascii="Palatino Linotype" w:eastAsia="Palatino Linotype" w:hAnsi="Palatino Linotype" w:cs="Palatino Linotype"/>
          <w:color w:val="000000"/>
          <w:sz w:val="20"/>
          <w:szCs w:val="20"/>
        </w:rPr>
        <w:t xml:space="preserve">%) were identified as having a low comorbidity burden (CCI ≤ 2), while </w:t>
      </w:r>
      <w:r>
        <w:rPr>
          <w:rFonts w:ascii="Palatino Linotype" w:eastAsia="Palatino Linotype" w:hAnsi="Palatino Linotype" w:cs="Palatino Linotype"/>
          <w:color w:val="000000"/>
          <w:sz w:val="20"/>
          <w:szCs w:val="20"/>
        </w:rPr>
        <w:t>297</w:t>
      </w:r>
      <w:r w:rsidRPr="00F94B9E">
        <w:rPr>
          <w:rFonts w:ascii="Palatino Linotype" w:eastAsia="Palatino Linotype" w:hAnsi="Palatino Linotype" w:cs="Palatino Linotype"/>
          <w:color w:val="000000"/>
          <w:sz w:val="20"/>
          <w:szCs w:val="20"/>
        </w:rPr>
        <w:t xml:space="preserve"> patients (4</w:t>
      </w:r>
      <w:r>
        <w:rPr>
          <w:rFonts w:ascii="Palatino Linotype" w:eastAsia="Palatino Linotype" w:hAnsi="Palatino Linotype" w:cs="Palatino Linotype"/>
          <w:color w:val="000000"/>
          <w:sz w:val="20"/>
          <w:szCs w:val="20"/>
        </w:rPr>
        <w:t>0</w:t>
      </w:r>
      <w:r w:rsidRPr="00F94B9E">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6</w:t>
      </w:r>
      <w:r w:rsidRPr="00F94B9E">
        <w:rPr>
          <w:rFonts w:ascii="Palatino Linotype" w:eastAsia="Palatino Linotype" w:hAnsi="Palatino Linotype" w:cs="Palatino Linotype"/>
          <w:color w:val="000000"/>
          <w:sz w:val="20"/>
          <w:szCs w:val="20"/>
        </w:rPr>
        <w:t>%) were classified as having a moderate-to-high comorbidity burden (CCI ≥ 3).</w:t>
      </w:r>
    </w:p>
    <w:p w14:paraId="4EA5CA49" w14:textId="137F1C44" w:rsidR="00B76E9E" w:rsidRDefault="00B76E9E" w:rsidP="00B76E9E">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 xml:space="preserve">The functional status of the patients was evaluated using the Karnofsky performance status scale </w:t>
      </w:r>
      <w:r w:rsidRPr="00F94B9E">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{"citationID":"6wKv4iPB","properties":{"formattedCitation":"\\super 27\\nosupersub{}","plainCitation":"27","noteIndex":0},"citationItems":[{"id":4829,"uris":["http://zotero.org/users/15552969/items/BNUCF9G4"],"itemData":{"id":4829,"type":"article-journal","abstract":"OBJECTIVE Elderly patients are particularly at risk for severe morbidity following surgery. Among the various risk factors, age and skull base location of meningioma are known to be poor prognostic factors in meningioma surgery. The authors conducted this study to analyze significant preoperative risk factors in elderly patients with skull base meningioma. METHODS A total of 265 elderly patients (≥ 65 years old) with meningioma were surgically treated at the authors' institute and affiliated hospitals between 2000 and 2016, and these cases were reviewed. Among them, 57 patients with skull base\nmeningioma were evaluated. Among the various risk factors, the authors analyzed age, sex, Karnofsky Performance Scale (KPS) score, American Society of Anesthesiologists score, and tumor size, location, and pathology. Body mass index (BMI) and serum albumin were investigated as the frailty factors. The authors also reviewed 11 surgical studies of elderly patients ≥ 60 years old with meningioma. RESULTS The mean age was 72.4 ± 5.7 years, and 42 patients were female (73.6%). The mean size of meningioma was 36.6 ± 14.8 mm at the maximum diameter, and the mean follow-up period was 31.1 ± 31.5 months. (The continuous variables are expressed as the mean ± SD.) Histopathological\ninvestigation revealed a higher incidence (71.9%) of WHO Grade I. The rates of deterioration after surgery, at 3 months, and at 1 year were 33.3%, 37.3%, and 39.1%, respectively. Univariate analysis revealed location, preoperative KPS score, BMI level 2, and serum albumin level (p = 0.010, 0.017, 0.0012, and 0.0019, respectively) to be poor\nprognostic factors. Multivariate analysis revealed that location (p = 0.038) and BMI (p = 0.035) were risk factors for KPS score\ndeterioration immediately after surgery. According to the 11 papers reviewed, the median rate (25th-75th percentile) of skull base-related location was 43.5% (39.6-47.75); for asymptomatic status the mean was 24%; and for mortality at 3 months and 1 year the medians were 6.3% (0.7-7.1) and 8% (4.8-9.4), respectively. CONCLUSION Careful\npreoperative assessment based on the frailty concept was essential for better outcome in elderly patients with skull base meningioma. The BMI is appropriate as a quantitative factor for measure of frailty,\nparticularly in elderly individuals with skull base meningioma.\nFurther prospective randomized controlled trials are necessary to validate frailty as a preoperative risk factor. Not only patient\nselection but also surgical timing was an important factor.","archive":"Crossref","citation-key":"kolakshyapatiMultivariateRiskFactor2018","container-title":"Neurosurgical Focus","DOI":"10.3171/2018.1.focus17730","ISSN":"1092-0684","issue":"4","page":"E14","title":"Multivariate risk factor analysis and literature review of postoperative deterioration in Karnofsky Performance Scale score in elderly patients with skull base meningioma","volume":"44","author":[{"family":"Kolakshyapati","given":"Manish"},{"family":"Ikawa","given":"Fusao"},{"family":"Abiko","given":"Masaru"},{"family":"Mitsuhara","given":"Takafumi"},{"family":"Kinoshita","given":"Yasuyuki"},{"family":"Takeda","given":"Masaaki"},{"family":"Kurisu","given":"Kaoru"},{"family":"_","given":"_"}],"issued":{"date-parts":[["2018",4]]}}}],"schema":"https://github.com/citation-style-language/schema/raw/master/csl-citation.json"} </w:instrText>
      </w:r>
      <w:r w:rsidRPr="00F94B9E">
        <w:rPr>
          <w:rFonts w:ascii="Palatino Linotype" w:eastAsia="Palatino Linotype" w:hAnsi="Palatino Linotype" w:cs="Palatino Linotype"/>
          <w:color w:val="000000"/>
          <w:sz w:val="20"/>
          <w:szCs w:val="20"/>
        </w:rPr>
        <w:fldChar w:fldCharType="separate"/>
      </w:r>
      <w:r w:rsidR="00943DE9" w:rsidRPr="00943DE9">
        <w:rPr>
          <w:rFonts w:ascii="Palatino Linotype" w:hAnsi="Palatino Linotype"/>
          <w:color w:val="000000"/>
          <w:sz w:val="20"/>
          <w:vertAlign w:val="superscript"/>
        </w:rPr>
        <w:t>27</w:t>
      </w:r>
      <w:r w:rsidRPr="00F94B9E">
        <w:rPr>
          <w:rFonts w:ascii="Palatino Linotype" w:eastAsia="Palatino Linotype" w:hAnsi="Palatino Linotype" w:cs="Palatino Linotype"/>
          <w:color w:val="000000"/>
          <w:sz w:val="20"/>
          <w:szCs w:val="20"/>
        </w:rPr>
        <w:fldChar w:fldCharType="end"/>
      </w:r>
      <w:r w:rsidRPr="00F94B9E">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000000"/>
          <w:sz w:val="20"/>
          <w:szCs w:val="20"/>
        </w:rPr>
        <w:t xml:space="preserve">The </w:t>
      </w:r>
      <w:r w:rsidRPr="00D244A5">
        <w:rPr>
          <w:rFonts w:ascii="Palatino Linotype" w:eastAsia="Palatino Linotype" w:hAnsi="Palatino Linotype" w:cs="Palatino Linotype"/>
          <w:color w:val="000000"/>
          <w:sz w:val="20"/>
          <w:szCs w:val="20"/>
        </w:rPr>
        <w:t xml:space="preserve">mean preoperative KPS </w:t>
      </w:r>
      <w:r>
        <w:rPr>
          <w:rFonts w:ascii="Palatino Linotype" w:eastAsia="Palatino Linotype" w:hAnsi="Palatino Linotype" w:cs="Palatino Linotype"/>
          <w:color w:val="000000"/>
          <w:sz w:val="20"/>
          <w:szCs w:val="20"/>
        </w:rPr>
        <w:t>was</w:t>
      </w:r>
      <w:r w:rsidRPr="00D244A5">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000000"/>
          <w:sz w:val="20"/>
          <w:szCs w:val="20"/>
        </w:rPr>
        <w:t>82.2</w:t>
      </w:r>
      <w:r w:rsidRPr="00D244A5">
        <w:rPr>
          <w:rFonts w:ascii="Palatino Linotype" w:eastAsia="Palatino Linotype" w:hAnsi="Palatino Linotype" w:cs="Palatino Linotype"/>
          <w:color w:val="000000"/>
          <w:sz w:val="20"/>
          <w:szCs w:val="20"/>
        </w:rPr>
        <w:t xml:space="preserve"> (median 80).</w:t>
      </w:r>
    </w:p>
    <w:p w14:paraId="35D7C4F6" w14:textId="7F752E60" w:rsidR="00B76E9E" w:rsidRPr="00F94B9E" w:rsidRDefault="00B76E9E" w:rsidP="00B76E9E">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Most patients underwent surgery with a good preoperative functional status (KPS ≥70 in 9</w:t>
      </w:r>
      <w:r w:rsidR="00F10E62">
        <w:rPr>
          <w:rFonts w:ascii="Palatino Linotype" w:eastAsia="Palatino Linotype" w:hAnsi="Palatino Linotype" w:cs="Palatino Linotype"/>
          <w:color w:val="000000"/>
          <w:sz w:val="20"/>
          <w:szCs w:val="20"/>
        </w:rPr>
        <w:t>2</w:t>
      </w:r>
      <w:r w:rsidRPr="00F94B9E">
        <w:rPr>
          <w:rFonts w:ascii="Palatino Linotype" w:eastAsia="Palatino Linotype" w:hAnsi="Palatino Linotype" w:cs="Palatino Linotype"/>
          <w:color w:val="000000"/>
          <w:sz w:val="20"/>
          <w:szCs w:val="20"/>
        </w:rPr>
        <w:t>.9%), and the ASA class was predominantly II–III (Supplementary Table S1).</w:t>
      </w:r>
    </w:p>
    <w:p w14:paraId="6164BA4E" w14:textId="77777777" w:rsidR="00B76E9E" w:rsidRDefault="00B76E9E" w:rsidP="003C239A">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1C9F23BF" w14:textId="77777777" w:rsidR="00F10E62" w:rsidRPr="00F94B9E" w:rsidRDefault="00F10E62" w:rsidP="00F10E62">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r w:rsidRPr="00F94B9E">
        <w:rPr>
          <w:rFonts w:ascii="Palatino Linotype" w:eastAsia="Palatino Linotype" w:hAnsi="Palatino Linotype" w:cs="Palatino Linotype"/>
          <w:b/>
          <w:bCs/>
          <w:color w:val="000000"/>
          <w:sz w:val="20"/>
          <w:szCs w:val="20"/>
        </w:rPr>
        <w:t>Clinical presentation</w:t>
      </w:r>
    </w:p>
    <w:p w14:paraId="7563F9F1" w14:textId="47BB227F" w:rsidR="00745F64" w:rsidRDefault="00F10E62" w:rsidP="00F10E62">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 xml:space="preserve">The most common initial symptom was </w:t>
      </w:r>
      <w:r w:rsidR="00745F64">
        <w:rPr>
          <w:rFonts w:ascii="Palatino Linotype" w:eastAsia="Palatino Linotype" w:hAnsi="Palatino Linotype" w:cs="Palatino Linotype"/>
          <w:color w:val="000000"/>
          <w:sz w:val="20"/>
          <w:szCs w:val="20"/>
        </w:rPr>
        <w:t>visual deterioration</w:t>
      </w:r>
      <w:r w:rsidRPr="00F94B9E">
        <w:rPr>
          <w:rFonts w:ascii="Palatino Linotype" w:eastAsia="Palatino Linotype" w:hAnsi="Palatino Linotype" w:cs="Palatino Linotype"/>
          <w:color w:val="000000"/>
          <w:sz w:val="20"/>
          <w:szCs w:val="20"/>
        </w:rPr>
        <w:t xml:space="preserve">, reported in </w:t>
      </w:r>
      <w:r w:rsidR="00745F64">
        <w:rPr>
          <w:rFonts w:ascii="Palatino Linotype" w:eastAsia="Palatino Linotype" w:hAnsi="Palatino Linotype" w:cs="Palatino Linotype"/>
          <w:color w:val="000000"/>
          <w:sz w:val="20"/>
          <w:szCs w:val="20"/>
        </w:rPr>
        <w:t>179</w:t>
      </w:r>
      <w:r w:rsidRPr="00F94B9E">
        <w:rPr>
          <w:rFonts w:ascii="Palatino Linotype" w:eastAsia="Palatino Linotype" w:hAnsi="Palatino Linotype" w:cs="Palatino Linotype"/>
          <w:color w:val="000000"/>
          <w:sz w:val="20"/>
          <w:szCs w:val="20"/>
        </w:rPr>
        <w:t xml:space="preserve"> patients (24.</w:t>
      </w:r>
      <w:r w:rsidR="00745F64">
        <w:rPr>
          <w:rFonts w:ascii="Palatino Linotype" w:eastAsia="Palatino Linotype" w:hAnsi="Palatino Linotype" w:cs="Palatino Linotype"/>
          <w:color w:val="000000"/>
          <w:sz w:val="20"/>
          <w:szCs w:val="20"/>
        </w:rPr>
        <w:t>5</w:t>
      </w:r>
      <w:r w:rsidRPr="00F94B9E">
        <w:rPr>
          <w:rFonts w:ascii="Palatino Linotype" w:eastAsia="Palatino Linotype" w:hAnsi="Palatino Linotype" w:cs="Palatino Linotype"/>
          <w:color w:val="000000"/>
          <w:sz w:val="20"/>
          <w:szCs w:val="20"/>
        </w:rPr>
        <w:t xml:space="preserve">%), followed by </w:t>
      </w:r>
      <w:r w:rsidR="00745F64">
        <w:rPr>
          <w:rFonts w:ascii="Palatino Linotype" w:eastAsia="Palatino Linotype" w:hAnsi="Palatino Linotype" w:cs="Palatino Linotype"/>
          <w:color w:val="000000"/>
          <w:sz w:val="20"/>
          <w:szCs w:val="20"/>
        </w:rPr>
        <w:t xml:space="preserve">cognitive and psychological disorders </w:t>
      </w:r>
      <w:r w:rsidRPr="00F94B9E">
        <w:rPr>
          <w:rFonts w:ascii="Palatino Linotype" w:eastAsia="Palatino Linotype" w:hAnsi="Palatino Linotype" w:cs="Palatino Linotype"/>
          <w:color w:val="000000"/>
          <w:sz w:val="20"/>
          <w:szCs w:val="20"/>
        </w:rPr>
        <w:t xml:space="preserve">in </w:t>
      </w:r>
      <w:r w:rsidR="00745F64">
        <w:rPr>
          <w:rFonts w:ascii="Palatino Linotype" w:eastAsia="Palatino Linotype" w:hAnsi="Palatino Linotype" w:cs="Palatino Linotype"/>
          <w:color w:val="000000"/>
          <w:sz w:val="20"/>
          <w:szCs w:val="20"/>
        </w:rPr>
        <w:t xml:space="preserve">162 </w:t>
      </w:r>
      <w:r w:rsidRPr="00F94B9E">
        <w:rPr>
          <w:rFonts w:ascii="Palatino Linotype" w:eastAsia="Palatino Linotype" w:hAnsi="Palatino Linotype" w:cs="Palatino Linotype"/>
          <w:color w:val="000000"/>
          <w:sz w:val="20"/>
          <w:szCs w:val="20"/>
        </w:rPr>
        <w:t>patients (</w:t>
      </w:r>
      <w:r w:rsidR="00E720BA">
        <w:rPr>
          <w:rFonts w:ascii="Palatino Linotype" w:eastAsia="Palatino Linotype" w:hAnsi="Palatino Linotype" w:cs="Palatino Linotype"/>
          <w:color w:val="000000"/>
          <w:sz w:val="20"/>
          <w:szCs w:val="20"/>
        </w:rPr>
        <w:t>22.1</w:t>
      </w:r>
      <w:r w:rsidRPr="00F94B9E">
        <w:rPr>
          <w:rFonts w:ascii="Palatino Linotype" w:eastAsia="Palatino Linotype" w:hAnsi="Palatino Linotype" w:cs="Palatino Linotype"/>
          <w:color w:val="000000"/>
          <w:sz w:val="20"/>
          <w:szCs w:val="20"/>
        </w:rPr>
        <w:t xml:space="preserve">%). </w:t>
      </w:r>
      <w:r w:rsidR="00745F64">
        <w:rPr>
          <w:rFonts w:ascii="Palatino Linotype" w:eastAsia="Palatino Linotype" w:hAnsi="Palatino Linotype" w:cs="Palatino Linotype"/>
          <w:color w:val="000000"/>
          <w:sz w:val="20"/>
          <w:szCs w:val="20"/>
        </w:rPr>
        <w:t>Other common symptoms were headache (161 patients, 22.0%), cranial nerve palsy (144 patients, 19.7%), weakness (144 patients, 19.7%), and seizure (98 patients, 13.4%). Rare were aphasia or endocrinological disorders (such as hyperprolactinemia)</w:t>
      </w:r>
      <w:r w:rsidRPr="00F94B9E">
        <w:rPr>
          <w:rFonts w:ascii="Palatino Linotype" w:eastAsia="Palatino Linotype" w:hAnsi="Palatino Linotype" w:cs="Palatino Linotype"/>
          <w:color w:val="000000"/>
          <w:sz w:val="20"/>
          <w:szCs w:val="20"/>
        </w:rPr>
        <w:t>.</w:t>
      </w:r>
    </w:p>
    <w:p w14:paraId="14B9690A" w14:textId="683A7F9A" w:rsidR="00B652BE" w:rsidRDefault="00F10E62" w:rsidP="00E16E97">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 xml:space="preserve">Tumors were incidentally diagnosed in </w:t>
      </w:r>
      <w:r w:rsidR="001013AD">
        <w:rPr>
          <w:rFonts w:ascii="Palatino Linotype" w:eastAsia="Palatino Linotype" w:hAnsi="Palatino Linotype" w:cs="Palatino Linotype"/>
          <w:color w:val="000000"/>
          <w:sz w:val="20"/>
          <w:szCs w:val="20"/>
        </w:rPr>
        <w:t>76</w:t>
      </w:r>
      <w:r w:rsidRPr="00F94B9E">
        <w:rPr>
          <w:rFonts w:ascii="Palatino Linotype" w:eastAsia="Palatino Linotype" w:hAnsi="Palatino Linotype" w:cs="Palatino Linotype"/>
          <w:color w:val="000000"/>
          <w:sz w:val="20"/>
          <w:szCs w:val="20"/>
        </w:rPr>
        <w:t xml:space="preserve"> patients (1</w:t>
      </w:r>
      <w:r w:rsidR="001013AD">
        <w:rPr>
          <w:rFonts w:ascii="Palatino Linotype" w:eastAsia="Palatino Linotype" w:hAnsi="Palatino Linotype" w:cs="Palatino Linotype"/>
          <w:color w:val="000000"/>
          <w:sz w:val="20"/>
          <w:szCs w:val="20"/>
        </w:rPr>
        <w:t>0</w:t>
      </w:r>
      <w:r w:rsidRPr="00F94B9E">
        <w:rPr>
          <w:rFonts w:ascii="Palatino Linotype" w:eastAsia="Palatino Linotype" w:hAnsi="Palatino Linotype" w:cs="Palatino Linotype"/>
          <w:color w:val="000000"/>
          <w:sz w:val="20"/>
          <w:szCs w:val="20"/>
        </w:rPr>
        <w:t>.</w:t>
      </w:r>
      <w:r w:rsidR="001013AD">
        <w:rPr>
          <w:rFonts w:ascii="Palatino Linotype" w:eastAsia="Palatino Linotype" w:hAnsi="Palatino Linotype" w:cs="Palatino Linotype"/>
          <w:color w:val="000000"/>
          <w:sz w:val="20"/>
          <w:szCs w:val="20"/>
        </w:rPr>
        <w:t>4</w:t>
      </w:r>
      <w:r w:rsidRPr="00F94B9E">
        <w:rPr>
          <w:rFonts w:ascii="Palatino Linotype" w:eastAsia="Palatino Linotype" w:hAnsi="Palatino Linotype" w:cs="Palatino Linotype"/>
          <w:color w:val="000000"/>
          <w:sz w:val="20"/>
          <w:szCs w:val="20"/>
        </w:rPr>
        <w:t>%).</w:t>
      </w:r>
    </w:p>
    <w:p w14:paraId="18DC3E38" w14:textId="77777777" w:rsidR="00E720BA" w:rsidRDefault="00E720BA" w:rsidP="00E16E97">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08ECDABB" w14:textId="77777777" w:rsidR="00E720BA" w:rsidRDefault="00E720BA" w:rsidP="00B652BE">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p>
    <w:p w14:paraId="0769C24A" w14:textId="77777777" w:rsidR="00E720BA" w:rsidRDefault="00E720BA" w:rsidP="00B652BE">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p>
    <w:p w14:paraId="1DF5E67F" w14:textId="77777777" w:rsidR="00E720BA" w:rsidRDefault="00E720BA" w:rsidP="00B652BE">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p>
    <w:p w14:paraId="6A7D7B32" w14:textId="7F4F3D76" w:rsidR="00B652BE" w:rsidRPr="00F94B9E" w:rsidRDefault="00B652BE" w:rsidP="00B652BE">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r w:rsidRPr="00F94B9E">
        <w:rPr>
          <w:rFonts w:ascii="Palatino Linotype" w:eastAsia="Palatino Linotype" w:hAnsi="Palatino Linotype" w:cs="Palatino Linotype"/>
          <w:b/>
          <w:bCs/>
          <w:color w:val="000000"/>
          <w:sz w:val="20"/>
          <w:szCs w:val="20"/>
        </w:rPr>
        <w:lastRenderedPageBreak/>
        <w:t>Radiological characteristics</w:t>
      </w:r>
    </w:p>
    <w:p w14:paraId="1C450B34" w14:textId="13E2AAE6" w:rsidR="00B652BE" w:rsidRDefault="00B652BE" w:rsidP="00B652BE">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 xml:space="preserve">Radiological assessment revealed the </w:t>
      </w:r>
      <w:r>
        <w:rPr>
          <w:rFonts w:ascii="Palatino Linotype" w:eastAsia="Palatino Linotype" w:hAnsi="Palatino Linotype" w:cs="Palatino Linotype"/>
          <w:color w:val="000000"/>
          <w:sz w:val="20"/>
          <w:szCs w:val="20"/>
        </w:rPr>
        <w:t xml:space="preserve">anterior clinoid and sphenoid ridge </w:t>
      </w:r>
      <w:r w:rsidRPr="00D244A5">
        <w:rPr>
          <w:rFonts w:ascii="Palatino Linotype" w:eastAsia="Palatino Linotype" w:hAnsi="Palatino Linotype" w:cs="Palatino Linotype"/>
          <w:color w:val="000000"/>
          <w:sz w:val="20"/>
          <w:szCs w:val="20"/>
        </w:rPr>
        <w:t>as the most frequent tumor site (</w:t>
      </w:r>
      <w:r>
        <w:rPr>
          <w:rFonts w:ascii="Palatino Linotype" w:eastAsia="Palatino Linotype" w:hAnsi="Palatino Linotype" w:cs="Palatino Linotype"/>
          <w:color w:val="000000"/>
          <w:sz w:val="20"/>
          <w:szCs w:val="20"/>
        </w:rPr>
        <w:t>32.7</w:t>
      </w:r>
      <w:r w:rsidRPr="00D244A5">
        <w:rPr>
          <w:rFonts w:ascii="Palatino Linotype" w:eastAsia="Palatino Linotype" w:hAnsi="Palatino Linotype" w:cs="Palatino Linotype"/>
          <w:color w:val="000000"/>
          <w:sz w:val="20"/>
          <w:szCs w:val="20"/>
        </w:rPr>
        <w:t xml:space="preserve">%), followed by </w:t>
      </w:r>
      <w:r>
        <w:rPr>
          <w:rFonts w:ascii="Palatino Linotype" w:eastAsia="Palatino Linotype" w:hAnsi="Palatino Linotype" w:cs="Palatino Linotype"/>
          <w:color w:val="000000"/>
          <w:sz w:val="20"/>
          <w:szCs w:val="20"/>
        </w:rPr>
        <w:t>olfactory groove</w:t>
      </w:r>
      <w:r w:rsidRPr="00D244A5">
        <w:rPr>
          <w:rFonts w:ascii="Palatino Linotype" w:eastAsia="Palatino Linotype" w:hAnsi="Palatino Linotype" w:cs="Palatino Linotype"/>
          <w:color w:val="000000"/>
          <w:sz w:val="20"/>
          <w:szCs w:val="20"/>
        </w:rPr>
        <w:t xml:space="preserve"> (1</w:t>
      </w:r>
      <w:r>
        <w:rPr>
          <w:rFonts w:ascii="Palatino Linotype" w:eastAsia="Palatino Linotype" w:hAnsi="Palatino Linotype" w:cs="Palatino Linotype"/>
          <w:color w:val="000000"/>
          <w:sz w:val="20"/>
          <w:szCs w:val="20"/>
        </w:rPr>
        <w:t>4.5</w:t>
      </w:r>
      <w:r w:rsidRPr="00D244A5">
        <w:rPr>
          <w:rFonts w:ascii="Palatino Linotype" w:eastAsia="Palatino Linotype" w:hAnsi="Palatino Linotype" w:cs="Palatino Linotype"/>
          <w:color w:val="000000"/>
          <w:sz w:val="20"/>
          <w:szCs w:val="20"/>
        </w:rPr>
        <w:t xml:space="preserve">%) and </w:t>
      </w:r>
      <w:r>
        <w:rPr>
          <w:rFonts w:ascii="Palatino Linotype" w:eastAsia="Palatino Linotype" w:hAnsi="Palatino Linotype" w:cs="Palatino Linotype"/>
          <w:color w:val="000000"/>
          <w:sz w:val="20"/>
          <w:szCs w:val="20"/>
        </w:rPr>
        <w:t xml:space="preserve">tuberculum sellae </w:t>
      </w:r>
      <w:r w:rsidRPr="00D244A5">
        <w:rPr>
          <w:rFonts w:ascii="Palatino Linotype" w:eastAsia="Palatino Linotype" w:hAnsi="Palatino Linotype" w:cs="Palatino Linotype"/>
          <w:color w:val="000000"/>
          <w:sz w:val="20"/>
          <w:szCs w:val="20"/>
        </w:rPr>
        <w:t>meningiomas (</w:t>
      </w:r>
      <w:r>
        <w:rPr>
          <w:rFonts w:ascii="Palatino Linotype" w:eastAsia="Palatino Linotype" w:hAnsi="Palatino Linotype" w:cs="Palatino Linotype"/>
          <w:color w:val="000000"/>
          <w:sz w:val="20"/>
          <w:szCs w:val="20"/>
        </w:rPr>
        <w:t>9.85%</w:t>
      </w:r>
      <w:r w:rsidRPr="00D244A5">
        <w:rPr>
          <w:rFonts w:ascii="Palatino Linotype" w:eastAsia="Palatino Linotype" w:hAnsi="Palatino Linotype" w:cs="Palatino Linotype"/>
          <w:color w:val="000000"/>
          <w:sz w:val="20"/>
          <w:szCs w:val="20"/>
        </w:rPr>
        <w:t>). The average maximum axial diameter was 3</w:t>
      </w:r>
      <w:r>
        <w:rPr>
          <w:rFonts w:ascii="Palatino Linotype" w:eastAsia="Palatino Linotype" w:hAnsi="Palatino Linotype" w:cs="Palatino Linotype"/>
          <w:color w:val="000000"/>
          <w:sz w:val="20"/>
          <w:szCs w:val="20"/>
        </w:rPr>
        <w:t>6</w:t>
      </w:r>
      <w:r w:rsidRPr="00D244A5">
        <w:rPr>
          <w:rFonts w:ascii="Palatino Linotype" w:eastAsia="Palatino Linotype" w:hAnsi="Palatino Linotype" w:cs="Palatino Linotype"/>
          <w:color w:val="000000"/>
          <w:sz w:val="20"/>
          <w:szCs w:val="20"/>
        </w:rPr>
        <w:t>.0 ± 1</w:t>
      </w:r>
      <w:r>
        <w:rPr>
          <w:rFonts w:ascii="Palatino Linotype" w:eastAsia="Palatino Linotype" w:hAnsi="Palatino Linotype" w:cs="Palatino Linotype"/>
          <w:color w:val="000000"/>
          <w:sz w:val="20"/>
          <w:szCs w:val="20"/>
        </w:rPr>
        <w:t>5</w:t>
      </w:r>
      <w:r w:rsidRPr="00D244A5">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2</w:t>
      </w:r>
      <w:r w:rsidRPr="00D244A5">
        <w:rPr>
          <w:rFonts w:ascii="Palatino Linotype" w:eastAsia="Palatino Linotype" w:hAnsi="Palatino Linotype" w:cs="Palatino Linotype"/>
          <w:color w:val="000000"/>
          <w:sz w:val="20"/>
          <w:szCs w:val="20"/>
        </w:rPr>
        <w:t xml:space="preserve"> mm.</w:t>
      </w:r>
    </w:p>
    <w:p w14:paraId="20580499" w14:textId="1CB47AED" w:rsidR="00B652BE" w:rsidRDefault="00B652BE" w:rsidP="00B652BE">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 xml:space="preserve">Peritumoral edema was present in </w:t>
      </w:r>
      <w:r>
        <w:rPr>
          <w:rFonts w:ascii="Palatino Linotype" w:eastAsia="Palatino Linotype" w:hAnsi="Palatino Linotype" w:cs="Palatino Linotype"/>
          <w:color w:val="000000"/>
          <w:sz w:val="20"/>
          <w:szCs w:val="20"/>
        </w:rPr>
        <w:t>318</w:t>
      </w:r>
      <w:r w:rsidRPr="00F94B9E">
        <w:rPr>
          <w:rFonts w:ascii="Palatino Linotype" w:eastAsia="Palatino Linotype" w:hAnsi="Palatino Linotype" w:cs="Palatino Linotype"/>
          <w:color w:val="000000"/>
          <w:sz w:val="20"/>
          <w:szCs w:val="20"/>
        </w:rPr>
        <w:t xml:space="preserve"> patients (</w:t>
      </w:r>
      <w:r>
        <w:rPr>
          <w:rFonts w:ascii="Palatino Linotype" w:eastAsia="Palatino Linotype" w:hAnsi="Palatino Linotype" w:cs="Palatino Linotype"/>
          <w:color w:val="000000"/>
          <w:sz w:val="20"/>
          <w:szCs w:val="20"/>
        </w:rPr>
        <w:t>43.5</w:t>
      </w:r>
      <w:r w:rsidRPr="00F94B9E">
        <w:rPr>
          <w:rFonts w:ascii="Palatino Linotype" w:eastAsia="Palatino Linotype" w:hAnsi="Palatino Linotype" w:cs="Palatino Linotype"/>
          <w:color w:val="000000"/>
          <w:sz w:val="20"/>
          <w:szCs w:val="20"/>
        </w:rPr>
        <w:t xml:space="preserve">%), with </w:t>
      </w:r>
      <w:r>
        <w:rPr>
          <w:rFonts w:ascii="Palatino Linotype" w:eastAsia="Palatino Linotype" w:hAnsi="Palatino Linotype" w:cs="Palatino Linotype"/>
          <w:color w:val="000000"/>
          <w:sz w:val="20"/>
          <w:szCs w:val="20"/>
        </w:rPr>
        <w:t>176</w:t>
      </w:r>
      <w:r w:rsidRPr="00F94B9E">
        <w:rPr>
          <w:rFonts w:ascii="Palatino Linotype" w:eastAsia="Palatino Linotype" w:hAnsi="Palatino Linotype" w:cs="Palatino Linotype"/>
          <w:color w:val="000000"/>
          <w:sz w:val="20"/>
          <w:szCs w:val="20"/>
        </w:rPr>
        <w:t xml:space="preserve"> patients (</w:t>
      </w:r>
      <w:r>
        <w:rPr>
          <w:rFonts w:ascii="Palatino Linotype" w:eastAsia="Palatino Linotype" w:hAnsi="Palatino Linotype" w:cs="Palatino Linotype"/>
          <w:color w:val="000000"/>
          <w:sz w:val="20"/>
          <w:szCs w:val="20"/>
        </w:rPr>
        <w:t>24.1</w:t>
      </w:r>
      <w:r w:rsidRPr="00F94B9E">
        <w:rPr>
          <w:rFonts w:ascii="Palatino Linotype" w:eastAsia="Palatino Linotype" w:hAnsi="Palatino Linotype" w:cs="Palatino Linotype"/>
          <w:color w:val="000000"/>
          <w:sz w:val="20"/>
          <w:szCs w:val="20"/>
        </w:rPr>
        <w:t>%) presenting with some degree of midline shift (</w:t>
      </w:r>
      <w:r w:rsidRPr="00B652BE">
        <w:rPr>
          <w:rFonts w:ascii="Palatino Linotype" w:eastAsia="Palatino Linotype" w:hAnsi="Palatino Linotype" w:cs="Palatino Linotype"/>
          <w:color w:val="000000"/>
          <w:sz w:val="20"/>
          <w:szCs w:val="20"/>
          <w:shd w:val="clear" w:color="auto" w:fill="FFFF00"/>
        </w:rPr>
        <w:t>IQR 6–11 mm</w:t>
      </w:r>
      <w:r w:rsidRPr="00F94B9E">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000000"/>
          <w:sz w:val="20"/>
          <w:szCs w:val="20"/>
        </w:rPr>
        <w:t>Bone invasion was found in 114 patients (15.6%).</w:t>
      </w:r>
    </w:p>
    <w:p w14:paraId="0EC5A0E1" w14:textId="7F268AB0" w:rsidR="000F5932" w:rsidRDefault="00B652BE" w:rsidP="00B652BE">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Optic apparatus involvement was frequent, with many cases demonstrating optic nerve/chiasm compression (</w:t>
      </w:r>
      <w:r>
        <w:rPr>
          <w:rFonts w:ascii="Palatino Linotype" w:eastAsia="Palatino Linotype" w:hAnsi="Palatino Linotype" w:cs="Palatino Linotype"/>
          <w:color w:val="000000"/>
          <w:sz w:val="20"/>
          <w:szCs w:val="20"/>
        </w:rPr>
        <w:t>37.3</w:t>
      </w:r>
      <w:r w:rsidRPr="00F94B9E">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n=273</w:t>
      </w:r>
      <w:r w:rsidRPr="00F94B9E">
        <w:rPr>
          <w:rFonts w:ascii="Palatino Linotype" w:eastAsia="Palatino Linotype" w:hAnsi="Palatino Linotype" w:cs="Palatino Linotype"/>
          <w:color w:val="000000"/>
          <w:sz w:val="20"/>
          <w:szCs w:val="20"/>
        </w:rPr>
        <w:t>)</w:t>
      </w:r>
      <w:r w:rsidR="000F5932">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with optic canal invasion present in </w:t>
      </w:r>
      <w:r w:rsidR="000F5932">
        <w:rPr>
          <w:rFonts w:ascii="Palatino Linotype" w:eastAsia="Palatino Linotype" w:hAnsi="Palatino Linotype" w:cs="Palatino Linotype"/>
          <w:color w:val="000000"/>
          <w:sz w:val="20"/>
          <w:szCs w:val="20"/>
        </w:rPr>
        <w:t>108 patients (</w:t>
      </w:r>
      <w:r w:rsidRPr="00F94B9E">
        <w:rPr>
          <w:rFonts w:ascii="Palatino Linotype" w:eastAsia="Palatino Linotype" w:hAnsi="Palatino Linotype" w:cs="Palatino Linotype"/>
          <w:color w:val="000000"/>
          <w:sz w:val="20"/>
          <w:szCs w:val="20"/>
        </w:rPr>
        <w:t>1</w:t>
      </w:r>
      <w:r w:rsidR="00E720BA">
        <w:rPr>
          <w:rFonts w:ascii="Palatino Linotype" w:eastAsia="Palatino Linotype" w:hAnsi="Palatino Linotype" w:cs="Palatino Linotype"/>
          <w:color w:val="000000"/>
          <w:sz w:val="20"/>
          <w:szCs w:val="20"/>
        </w:rPr>
        <w:t>4</w:t>
      </w:r>
      <w:r w:rsidRPr="00F94B9E">
        <w:rPr>
          <w:rFonts w:ascii="Palatino Linotype" w:eastAsia="Palatino Linotype" w:hAnsi="Palatino Linotype" w:cs="Palatino Linotype"/>
          <w:color w:val="000000"/>
          <w:sz w:val="20"/>
          <w:szCs w:val="20"/>
        </w:rPr>
        <w:t>.</w:t>
      </w:r>
      <w:r w:rsidR="00E720BA">
        <w:rPr>
          <w:rFonts w:ascii="Palatino Linotype" w:eastAsia="Palatino Linotype" w:hAnsi="Palatino Linotype" w:cs="Palatino Linotype"/>
          <w:color w:val="000000"/>
          <w:sz w:val="20"/>
          <w:szCs w:val="20"/>
        </w:rPr>
        <w:t>8</w:t>
      </w:r>
      <w:r w:rsidRPr="00F94B9E">
        <w:rPr>
          <w:rFonts w:ascii="Palatino Linotype" w:eastAsia="Palatino Linotype" w:hAnsi="Palatino Linotype" w:cs="Palatino Linotype"/>
          <w:color w:val="000000"/>
          <w:sz w:val="20"/>
          <w:szCs w:val="20"/>
        </w:rPr>
        <w:t>%). A substantial proportion of patients demonstrated some degree of encasement (</w:t>
      </w:r>
      <w:r w:rsidR="000F5932">
        <w:rPr>
          <w:rFonts w:ascii="Palatino Linotype" w:eastAsia="Palatino Linotype" w:hAnsi="Palatino Linotype" w:cs="Palatino Linotype"/>
          <w:color w:val="000000"/>
          <w:sz w:val="20"/>
          <w:szCs w:val="20"/>
        </w:rPr>
        <w:t>47.7</w:t>
      </w:r>
      <w:r w:rsidRPr="00F94B9E">
        <w:rPr>
          <w:rFonts w:ascii="Palatino Linotype" w:eastAsia="Palatino Linotype" w:hAnsi="Palatino Linotype" w:cs="Palatino Linotype"/>
          <w:color w:val="000000"/>
          <w:sz w:val="20"/>
          <w:szCs w:val="20"/>
        </w:rPr>
        <w:t xml:space="preserve">%), with ICA encasement observed in </w:t>
      </w:r>
      <w:r w:rsidR="000F5932">
        <w:rPr>
          <w:rFonts w:ascii="Palatino Linotype" w:eastAsia="Palatino Linotype" w:hAnsi="Palatino Linotype" w:cs="Palatino Linotype"/>
          <w:color w:val="000000"/>
          <w:sz w:val="20"/>
          <w:szCs w:val="20"/>
        </w:rPr>
        <w:t>89</w:t>
      </w:r>
      <w:r w:rsidRPr="00F94B9E">
        <w:rPr>
          <w:rFonts w:ascii="Palatino Linotype" w:eastAsia="Palatino Linotype" w:hAnsi="Palatino Linotype" w:cs="Palatino Linotype"/>
          <w:color w:val="000000"/>
          <w:sz w:val="20"/>
          <w:szCs w:val="20"/>
        </w:rPr>
        <w:t xml:space="preserve"> patients (1</w:t>
      </w:r>
      <w:r w:rsidR="000F5932">
        <w:rPr>
          <w:rFonts w:ascii="Palatino Linotype" w:eastAsia="Palatino Linotype" w:hAnsi="Palatino Linotype" w:cs="Palatino Linotype"/>
          <w:color w:val="000000"/>
          <w:sz w:val="20"/>
          <w:szCs w:val="20"/>
        </w:rPr>
        <w:t>2</w:t>
      </w:r>
      <w:r w:rsidRPr="00F94B9E">
        <w:rPr>
          <w:rFonts w:ascii="Palatino Linotype" w:eastAsia="Palatino Linotype" w:hAnsi="Palatino Linotype" w:cs="Palatino Linotype"/>
          <w:color w:val="000000"/>
          <w:sz w:val="20"/>
          <w:szCs w:val="20"/>
        </w:rPr>
        <w:t>.</w:t>
      </w:r>
      <w:r w:rsidR="000F5932">
        <w:rPr>
          <w:rFonts w:ascii="Palatino Linotype" w:eastAsia="Palatino Linotype" w:hAnsi="Palatino Linotype" w:cs="Palatino Linotype"/>
          <w:color w:val="000000"/>
          <w:sz w:val="20"/>
          <w:szCs w:val="20"/>
        </w:rPr>
        <w:t>2</w:t>
      </w:r>
      <w:r w:rsidRPr="00F94B9E">
        <w:rPr>
          <w:rFonts w:ascii="Palatino Linotype" w:eastAsia="Palatino Linotype" w:hAnsi="Palatino Linotype" w:cs="Palatino Linotype"/>
          <w:color w:val="000000"/>
          <w:sz w:val="20"/>
          <w:szCs w:val="20"/>
        </w:rPr>
        <w:t xml:space="preserve">%). Cavernous sinus involvement was observed in </w:t>
      </w:r>
      <w:r w:rsidR="000F5932">
        <w:rPr>
          <w:rFonts w:ascii="Palatino Linotype" w:eastAsia="Palatino Linotype" w:hAnsi="Palatino Linotype" w:cs="Palatino Linotype"/>
          <w:color w:val="000000"/>
          <w:sz w:val="20"/>
          <w:szCs w:val="20"/>
        </w:rPr>
        <w:t>105</w:t>
      </w:r>
      <w:r w:rsidRPr="00F94B9E">
        <w:rPr>
          <w:rFonts w:ascii="Palatino Linotype" w:eastAsia="Palatino Linotype" w:hAnsi="Palatino Linotype" w:cs="Palatino Linotype"/>
          <w:color w:val="000000"/>
          <w:sz w:val="20"/>
          <w:szCs w:val="20"/>
        </w:rPr>
        <w:t xml:space="preserve"> patients (1</w:t>
      </w:r>
      <w:r w:rsidR="000F5932">
        <w:rPr>
          <w:rFonts w:ascii="Palatino Linotype" w:eastAsia="Palatino Linotype" w:hAnsi="Palatino Linotype" w:cs="Palatino Linotype"/>
          <w:color w:val="000000"/>
          <w:sz w:val="20"/>
          <w:szCs w:val="20"/>
        </w:rPr>
        <w:t>4</w:t>
      </w:r>
      <w:r w:rsidRPr="00F94B9E">
        <w:rPr>
          <w:rFonts w:ascii="Palatino Linotype" w:eastAsia="Palatino Linotype" w:hAnsi="Palatino Linotype" w:cs="Palatino Linotype"/>
          <w:color w:val="000000"/>
          <w:sz w:val="20"/>
          <w:szCs w:val="20"/>
        </w:rPr>
        <w:t>.</w:t>
      </w:r>
      <w:r w:rsidR="000F5932">
        <w:rPr>
          <w:rFonts w:ascii="Palatino Linotype" w:eastAsia="Palatino Linotype" w:hAnsi="Palatino Linotype" w:cs="Palatino Linotype"/>
          <w:color w:val="000000"/>
          <w:sz w:val="20"/>
          <w:szCs w:val="20"/>
        </w:rPr>
        <w:t>4</w:t>
      </w:r>
      <w:r w:rsidRPr="00F94B9E">
        <w:rPr>
          <w:rFonts w:ascii="Palatino Linotype" w:eastAsia="Palatino Linotype" w:hAnsi="Palatino Linotype" w:cs="Palatino Linotype"/>
          <w:color w:val="000000"/>
          <w:sz w:val="20"/>
          <w:szCs w:val="20"/>
        </w:rPr>
        <w:t xml:space="preserve">%), while </w:t>
      </w:r>
      <w:r w:rsidR="000F5932">
        <w:rPr>
          <w:rFonts w:ascii="Palatino Linotype" w:eastAsia="Palatino Linotype" w:hAnsi="Palatino Linotype" w:cs="Palatino Linotype"/>
          <w:color w:val="000000"/>
          <w:sz w:val="20"/>
          <w:szCs w:val="20"/>
        </w:rPr>
        <w:t>282</w:t>
      </w:r>
      <w:r w:rsidRPr="00F94B9E">
        <w:rPr>
          <w:rFonts w:ascii="Palatino Linotype" w:eastAsia="Palatino Linotype" w:hAnsi="Palatino Linotype" w:cs="Palatino Linotype"/>
          <w:color w:val="000000"/>
          <w:sz w:val="20"/>
          <w:szCs w:val="20"/>
        </w:rPr>
        <w:t xml:space="preserve"> patients (</w:t>
      </w:r>
      <w:r w:rsidR="000F5932">
        <w:rPr>
          <w:rFonts w:ascii="Palatino Linotype" w:eastAsia="Palatino Linotype" w:hAnsi="Palatino Linotype" w:cs="Palatino Linotype"/>
          <w:color w:val="000000"/>
          <w:sz w:val="20"/>
          <w:szCs w:val="20"/>
        </w:rPr>
        <w:t>38.6%</w:t>
      </w:r>
      <w:r w:rsidRPr="00F94B9E">
        <w:rPr>
          <w:rFonts w:ascii="Palatino Linotype" w:eastAsia="Palatino Linotype" w:hAnsi="Palatino Linotype" w:cs="Palatino Linotype"/>
          <w:color w:val="000000"/>
          <w:sz w:val="20"/>
          <w:szCs w:val="20"/>
        </w:rPr>
        <w:t>) presented with cranial nerve involvement (1</w:t>
      </w:r>
      <w:r w:rsidR="000F5932">
        <w:rPr>
          <w:rFonts w:ascii="Palatino Linotype" w:eastAsia="Palatino Linotype" w:hAnsi="Palatino Linotype" w:cs="Palatino Linotype"/>
          <w:color w:val="000000"/>
          <w:sz w:val="20"/>
          <w:szCs w:val="20"/>
        </w:rPr>
        <w:t>7</w:t>
      </w:r>
      <w:r w:rsidRPr="00F94B9E">
        <w:rPr>
          <w:rFonts w:ascii="Palatino Linotype" w:eastAsia="Palatino Linotype" w:hAnsi="Palatino Linotype" w:cs="Palatino Linotype"/>
          <w:color w:val="000000"/>
          <w:sz w:val="20"/>
          <w:szCs w:val="20"/>
        </w:rPr>
        <w:t>.</w:t>
      </w:r>
      <w:r w:rsidR="000F5932">
        <w:rPr>
          <w:rFonts w:ascii="Palatino Linotype" w:eastAsia="Palatino Linotype" w:hAnsi="Palatino Linotype" w:cs="Palatino Linotype"/>
          <w:color w:val="000000"/>
          <w:sz w:val="20"/>
          <w:szCs w:val="20"/>
        </w:rPr>
        <w:t>0</w:t>
      </w:r>
      <w:r w:rsidRPr="00F94B9E">
        <w:rPr>
          <w:rFonts w:ascii="Palatino Linotype" w:eastAsia="Palatino Linotype" w:hAnsi="Palatino Linotype" w:cs="Palatino Linotype"/>
          <w:color w:val="000000"/>
          <w:sz w:val="20"/>
          <w:szCs w:val="20"/>
        </w:rPr>
        <w:t xml:space="preserve">% CN III/IV/VI, </w:t>
      </w:r>
      <w:r w:rsidR="000F5932">
        <w:rPr>
          <w:rFonts w:ascii="Palatino Linotype" w:eastAsia="Palatino Linotype" w:hAnsi="Palatino Linotype" w:cs="Palatino Linotype"/>
          <w:color w:val="000000"/>
          <w:sz w:val="20"/>
          <w:szCs w:val="20"/>
        </w:rPr>
        <w:t>15.3</w:t>
      </w:r>
      <w:r w:rsidRPr="00F94B9E">
        <w:rPr>
          <w:rFonts w:ascii="Palatino Linotype" w:eastAsia="Palatino Linotype" w:hAnsi="Palatino Linotype" w:cs="Palatino Linotype"/>
          <w:color w:val="000000"/>
          <w:sz w:val="20"/>
          <w:szCs w:val="20"/>
        </w:rPr>
        <w:t>% CN V/VII/VIII</w:t>
      </w:r>
      <w:r w:rsidR="00E720BA">
        <w:rPr>
          <w:rFonts w:ascii="Palatino Linotype" w:eastAsia="Palatino Linotype" w:hAnsi="Palatino Linotype" w:cs="Palatino Linotype"/>
          <w:color w:val="000000"/>
          <w:sz w:val="20"/>
          <w:szCs w:val="20"/>
        </w:rPr>
        <w:t>,</w:t>
      </w:r>
      <w:r w:rsidR="000F5932">
        <w:rPr>
          <w:rFonts w:ascii="Palatino Linotype" w:eastAsia="Palatino Linotype" w:hAnsi="Palatino Linotype" w:cs="Palatino Linotype"/>
          <w:color w:val="000000"/>
          <w:sz w:val="20"/>
          <w:szCs w:val="20"/>
        </w:rPr>
        <w:t xml:space="preserve"> and 6.16% CN IX, X, XI</w:t>
      </w:r>
      <w:r w:rsidRPr="00F94B9E">
        <w:rPr>
          <w:rFonts w:ascii="Palatino Linotype" w:eastAsia="Palatino Linotype" w:hAnsi="Palatino Linotype" w:cs="Palatino Linotype"/>
          <w:color w:val="000000"/>
          <w:sz w:val="20"/>
          <w:szCs w:val="20"/>
        </w:rPr>
        <w:t xml:space="preserve">). </w:t>
      </w:r>
      <w:r w:rsidR="000F5932">
        <w:rPr>
          <w:rFonts w:ascii="Palatino Linotype" w:eastAsia="Palatino Linotype" w:hAnsi="Palatino Linotype" w:cs="Palatino Linotype"/>
          <w:color w:val="000000"/>
          <w:sz w:val="20"/>
          <w:szCs w:val="20"/>
        </w:rPr>
        <w:t>Brainstem compression was present in 50 patients (6.83%).</w:t>
      </w:r>
    </w:p>
    <w:p w14:paraId="6AEC12B1" w14:textId="5F605C66" w:rsidR="00B652BE" w:rsidRPr="00F94B9E" w:rsidRDefault="00B652BE" w:rsidP="00B652BE">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Center-stratified summaries demonstrated heterogeneity in baseline comorbidity and radiological complexity (Table 1; Supplementary Table S1).</w:t>
      </w:r>
    </w:p>
    <w:p w14:paraId="090C658C" w14:textId="77777777" w:rsidR="00B652BE" w:rsidRDefault="00B652BE" w:rsidP="00E16E97">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0BDE0128" w14:textId="3571319C" w:rsidR="000F5932" w:rsidRPr="000F5932" w:rsidRDefault="000F5932" w:rsidP="00E16E97">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r w:rsidRPr="00F94B9E">
        <w:rPr>
          <w:rFonts w:ascii="Palatino Linotype" w:eastAsia="Palatino Linotype" w:hAnsi="Palatino Linotype" w:cs="Palatino Linotype"/>
          <w:b/>
          <w:bCs/>
          <w:color w:val="000000"/>
          <w:sz w:val="20"/>
          <w:szCs w:val="20"/>
        </w:rPr>
        <w:t>Surgical and histological characteristics</w:t>
      </w:r>
    </w:p>
    <w:p w14:paraId="4B85DF0A" w14:textId="2432EE52" w:rsidR="00AB700A" w:rsidRPr="00D244A5" w:rsidRDefault="00AB700A" w:rsidP="00E16E97">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 xml:space="preserve">Surgically, the pterional approach was </w:t>
      </w:r>
      <w:r w:rsidR="000F5932">
        <w:rPr>
          <w:rFonts w:ascii="Palatino Linotype" w:eastAsia="Palatino Linotype" w:hAnsi="Palatino Linotype" w:cs="Palatino Linotype"/>
          <w:color w:val="000000"/>
          <w:sz w:val="20"/>
          <w:szCs w:val="20"/>
        </w:rPr>
        <w:t>performed</w:t>
      </w:r>
      <w:r w:rsidRPr="00D244A5">
        <w:rPr>
          <w:rFonts w:ascii="Palatino Linotype" w:eastAsia="Palatino Linotype" w:hAnsi="Palatino Linotype" w:cs="Palatino Linotype"/>
          <w:color w:val="000000"/>
          <w:sz w:val="20"/>
          <w:szCs w:val="20"/>
        </w:rPr>
        <w:t xml:space="preserve"> in </w:t>
      </w:r>
      <w:r w:rsidR="000F5932">
        <w:rPr>
          <w:rFonts w:ascii="Palatino Linotype" w:eastAsia="Palatino Linotype" w:hAnsi="Palatino Linotype" w:cs="Palatino Linotype"/>
          <w:color w:val="000000"/>
          <w:sz w:val="20"/>
          <w:szCs w:val="20"/>
        </w:rPr>
        <w:t>460 patients (</w:t>
      </w:r>
      <w:r w:rsidRPr="00D244A5">
        <w:rPr>
          <w:rFonts w:ascii="Palatino Linotype" w:eastAsia="Palatino Linotype" w:hAnsi="Palatino Linotype" w:cs="Palatino Linotype"/>
          <w:color w:val="000000"/>
          <w:sz w:val="20"/>
          <w:szCs w:val="20"/>
        </w:rPr>
        <w:t>6</w:t>
      </w:r>
      <w:r w:rsidR="00E16E97">
        <w:rPr>
          <w:rFonts w:ascii="Palatino Linotype" w:eastAsia="Palatino Linotype" w:hAnsi="Palatino Linotype" w:cs="Palatino Linotype"/>
          <w:color w:val="000000"/>
          <w:sz w:val="20"/>
          <w:szCs w:val="20"/>
        </w:rPr>
        <w:t>2.9</w:t>
      </w:r>
      <w:r w:rsidRPr="00D244A5">
        <w:rPr>
          <w:rFonts w:ascii="Palatino Linotype" w:eastAsia="Palatino Linotype" w:hAnsi="Palatino Linotype" w:cs="Palatino Linotype"/>
          <w:color w:val="000000"/>
          <w:sz w:val="20"/>
          <w:szCs w:val="20"/>
        </w:rPr>
        <w:t>%</w:t>
      </w:r>
      <w:r w:rsidR="000F5932">
        <w:rPr>
          <w:rFonts w:ascii="Palatino Linotype" w:eastAsia="Palatino Linotype" w:hAnsi="Palatino Linotype" w:cs="Palatino Linotype"/>
          <w:color w:val="000000"/>
          <w:sz w:val="20"/>
          <w:szCs w:val="20"/>
        </w:rPr>
        <w:t xml:space="preserve">), followed by the retrosigmoid approach (n=120, 16.4%) and the </w:t>
      </w:r>
      <w:proofErr w:type="spellStart"/>
      <w:r w:rsidR="000F5932">
        <w:rPr>
          <w:rFonts w:ascii="Palatino Linotype" w:eastAsia="Palatino Linotype" w:hAnsi="Palatino Linotype" w:cs="Palatino Linotype"/>
          <w:color w:val="000000"/>
          <w:sz w:val="20"/>
          <w:szCs w:val="20"/>
        </w:rPr>
        <w:t>subfrontal</w:t>
      </w:r>
      <w:proofErr w:type="spellEnd"/>
      <w:r w:rsidR="000F5932">
        <w:rPr>
          <w:rFonts w:ascii="Palatino Linotype" w:eastAsia="Palatino Linotype" w:hAnsi="Palatino Linotype" w:cs="Palatino Linotype"/>
          <w:color w:val="000000"/>
          <w:sz w:val="20"/>
          <w:szCs w:val="20"/>
        </w:rPr>
        <w:t xml:space="preserve"> approach (n=75, 10.2%)</w:t>
      </w:r>
      <w:r w:rsidRPr="00D244A5">
        <w:rPr>
          <w:rFonts w:ascii="Palatino Linotype" w:eastAsia="Palatino Linotype" w:hAnsi="Palatino Linotype" w:cs="Palatino Linotype"/>
          <w:color w:val="000000"/>
          <w:sz w:val="20"/>
          <w:szCs w:val="20"/>
        </w:rPr>
        <w:t>. Regarding EOR, most resections corresponded to Simpson grade II (</w:t>
      </w:r>
      <w:r w:rsidR="004732E7">
        <w:rPr>
          <w:rFonts w:ascii="Palatino Linotype" w:eastAsia="Palatino Linotype" w:hAnsi="Palatino Linotype" w:cs="Palatino Linotype"/>
          <w:color w:val="000000"/>
          <w:sz w:val="20"/>
          <w:szCs w:val="20"/>
        </w:rPr>
        <w:t>56</w:t>
      </w:r>
      <w:r w:rsidRPr="00D244A5">
        <w:rPr>
          <w:rFonts w:ascii="Palatino Linotype" w:eastAsia="Palatino Linotype" w:hAnsi="Palatino Linotype" w:cs="Palatino Linotype"/>
          <w:color w:val="000000"/>
          <w:sz w:val="20"/>
          <w:szCs w:val="20"/>
        </w:rPr>
        <w:t>.</w:t>
      </w:r>
      <w:r w:rsidR="004732E7">
        <w:rPr>
          <w:rFonts w:ascii="Palatino Linotype" w:eastAsia="Palatino Linotype" w:hAnsi="Palatino Linotype" w:cs="Palatino Linotype"/>
          <w:color w:val="000000"/>
          <w:sz w:val="20"/>
          <w:szCs w:val="20"/>
        </w:rPr>
        <w:t>4</w:t>
      </w:r>
      <w:r w:rsidRPr="00D244A5">
        <w:rPr>
          <w:rFonts w:ascii="Palatino Linotype" w:eastAsia="Palatino Linotype" w:hAnsi="Palatino Linotype" w:cs="Palatino Linotype"/>
          <w:color w:val="000000"/>
          <w:sz w:val="20"/>
          <w:szCs w:val="20"/>
        </w:rPr>
        <w:t xml:space="preserve">%, n = </w:t>
      </w:r>
      <w:r w:rsidR="004732E7">
        <w:rPr>
          <w:rFonts w:ascii="Palatino Linotype" w:eastAsia="Palatino Linotype" w:hAnsi="Palatino Linotype" w:cs="Palatino Linotype"/>
          <w:color w:val="000000"/>
          <w:sz w:val="20"/>
          <w:szCs w:val="20"/>
        </w:rPr>
        <w:t>412</w:t>
      </w:r>
      <w:r w:rsidRPr="00D244A5">
        <w:rPr>
          <w:rFonts w:ascii="Palatino Linotype" w:eastAsia="Palatino Linotype" w:hAnsi="Palatino Linotype" w:cs="Palatino Linotype"/>
          <w:color w:val="000000"/>
          <w:sz w:val="20"/>
          <w:szCs w:val="20"/>
        </w:rPr>
        <w:t>), followed by grade IV (28.</w:t>
      </w:r>
      <w:r w:rsidR="004732E7">
        <w:rPr>
          <w:rFonts w:ascii="Palatino Linotype" w:eastAsia="Palatino Linotype" w:hAnsi="Palatino Linotype" w:cs="Palatino Linotype"/>
          <w:color w:val="000000"/>
          <w:sz w:val="20"/>
          <w:szCs w:val="20"/>
        </w:rPr>
        <w:t>5</w:t>
      </w:r>
      <w:r w:rsidRPr="00D244A5">
        <w:rPr>
          <w:rFonts w:ascii="Palatino Linotype" w:eastAsia="Palatino Linotype" w:hAnsi="Palatino Linotype" w:cs="Palatino Linotype"/>
          <w:color w:val="000000"/>
          <w:sz w:val="20"/>
          <w:szCs w:val="20"/>
        </w:rPr>
        <w:t xml:space="preserve">%, n = </w:t>
      </w:r>
      <w:r w:rsidR="004732E7">
        <w:rPr>
          <w:rFonts w:ascii="Palatino Linotype" w:eastAsia="Palatino Linotype" w:hAnsi="Palatino Linotype" w:cs="Palatino Linotype"/>
          <w:color w:val="000000"/>
          <w:sz w:val="20"/>
          <w:szCs w:val="20"/>
        </w:rPr>
        <w:t>208</w:t>
      </w:r>
      <w:r w:rsidRPr="00D244A5">
        <w:rPr>
          <w:rFonts w:ascii="Palatino Linotype" w:eastAsia="Palatino Linotype" w:hAnsi="Palatino Linotype" w:cs="Palatino Linotype"/>
          <w:color w:val="000000"/>
          <w:sz w:val="20"/>
          <w:szCs w:val="20"/>
        </w:rPr>
        <w:t>), grade I (</w:t>
      </w:r>
      <w:r w:rsidR="004732E7">
        <w:rPr>
          <w:rFonts w:ascii="Palatino Linotype" w:eastAsia="Palatino Linotype" w:hAnsi="Palatino Linotype" w:cs="Palatino Linotype"/>
          <w:color w:val="000000"/>
          <w:sz w:val="20"/>
          <w:szCs w:val="20"/>
        </w:rPr>
        <w:t>10.1</w:t>
      </w:r>
      <w:r w:rsidRPr="00D244A5">
        <w:rPr>
          <w:rFonts w:ascii="Palatino Linotype" w:eastAsia="Palatino Linotype" w:hAnsi="Palatino Linotype" w:cs="Palatino Linotype"/>
          <w:color w:val="000000"/>
          <w:sz w:val="20"/>
          <w:szCs w:val="20"/>
        </w:rPr>
        <w:t xml:space="preserve">%, n = </w:t>
      </w:r>
      <w:r w:rsidR="004732E7">
        <w:rPr>
          <w:rFonts w:ascii="Palatino Linotype" w:eastAsia="Palatino Linotype" w:hAnsi="Palatino Linotype" w:cs="Palatino Linotype"/>
          <w:color w:val="000000"/>
          <w:sz w:val="20"/>
          <w:szCs w:val="20"/>
        </w:rPr>
        <w:t>74</w:t>
      </w:r>
      <w:r w:rsidRPr="00D244A5">
        <w:rPr>
          <w:rFonts w:ascii="Palatino Linotype" w:eastAsia="Palatino Linotype" w:hAnsi="Palatino Linotype" w:cs="Palatino Linotype"/>
          <w:color w:val="000000"/>
          <w:sz w:val="20"/>
          <w:szCs w:val="20"/>
        </w:rPr>
        <w:t xml:space="preserve">), grade </w:t>
      </w:r>
      <w:r w:rsidR="004732E7">
        <w:rPr>
          <w:rFonts w:ascii="Palatino Linotype" w:eastAsia="Palatino Linotype" w:hAnsi="Palatino Linotype" w:cs="Palatino Linotype"/>
          <w:color w:val="000000"/>
          <w:sz w:val="20"/>
          <w:szCs w:val="20"/>
        </w:rPr>
        <w:t>III</w:t>
      </w:r>
      <w:r w:rsidRPr="00D244A5">
        <w:rPr>
          <w:rFonts w:ascii="Palatino Linotype" w:eastAsia="Palatino Linotype" w:hAnsi="Palatino Linotype" w:cs="Palatino Linotype"/>
          <w:color w:val="000000"/>
          <w:sz w:val="20"/>
          <w:szCs w:val="20"/>
        </w:rPr>
        <w:t xml:space="preserve"> (</w:t>
      </w:r>
      <w:r w:rsidR="004732E7">
        <w:rPr>
          <w:rFonts w:ascii="Palatino Linotype" w:eastAsia="Palatino Linotype" w:hAnsi="Palatino Linotype" w:cs="Palatino Linotype"/>
          <w:color w:val="000000"/>
          <w:sz w:val="20"/>
          <w:szCs w:val="20"/>
        </w:rPr>
        <w:t>4.7</w:t>
      </w:r>
      <w:r w:rsidRPr="00D244A5">
        <w:rPr>
          <w:rFonts w:ascii="Palatino Linotype" w:eastAsia="Palatino Linotype" w:hAnsi="Palatino Linotype" w:cs="Palatino Linotype"/>
          <w:color w:val="000000"/>
          <w:sz w:val="20"/>
          <w:szCs w:val="20"/>
        </w:rPr>
        <w:t xml:space="preserve">%, n = </w:t>
      </w:r>
      <w:r w:rsidR="004732E7">
        <w:rPr>
          <w:rFonts w:ascii="Palatino Linotype" w:eastAsia="Palatino Linotype" w:hAnsi="Palatino Linotype" w:cs="Palatino Linotype"/>
          <w:color w:val="000000"/>
          <w:sz w:val="20"/>
          <w:szCs w:val="20"/>
        </w:rPr>
        <w:t>3</w:t>
      </w:r>
      <w:r w:rsidRPr="00D244A5">
        <w:rPr>
          <w:rFonts w:ascii="Palatino Linotype" w:eastAsia="Palatino Linotype" w:hAnsi="Palatino Linotype" w:cs="Palatino Linotype"/>
          <w:color w:val="000000"/>
          <w:sz w:val="20"/>
          <w:szCs w:val="20"/>
        </w:rPr>
        <w:t>4)</w:t>
      </w:r>
      <w:r w:rsidR="004732E7">
        <w:rPr>
          <w:rFonts w:ascii="Palatino Linotype" w:eastAsia="Palatino Linotype" w:hAnsi="Palatino Linotype" w:cs="Palatino Linotype"/>
          <w:color w:val="000000"/>
          <w:sz w:val="20"/>
          <w:szCs w:val="20"/>
        </w:rPr>
        <w:t>, and grade V (0.4%, n=3)</w:t>
      </w:r>
      <w:r w:rsidRPr="00D244A5">
        <w:rPr>
          <w:rFonts w:ascii="Palatino Linotype" w:eastAsia="Palatino Linotype" w:hAnsi="Palatino Linotype" w:cs="Palatino Linotype"/>
          <w:color w:val="000000"/>
          <w:sz w:val="20"/>
          <w:szCs w:val="20"/>
        </w:rPr>
        <w:t>. Gross total resection was achieved in 7</w:t>
      </w:r>
      <w:r w:rsidR="00B02828">
        <w:rPr>
          <w:rFonts w:ascii="Palatino Linotype" w:eastAsia="Palatino Linotype" w:hAnsi="Palatino Linotype" w:cs="Palatino Linotype"/>
          <w:color w:val="000000"/>
          <w:sz w:val="20"/>
          <w:szCs w:val="20"/>
        </w:rPr>
        <w:t>1.3</w:t>
      </w:r>
      <w:r w:rsidR="00E16E97">
        <w:rPr>
          <w:rFonts w:ascii="Palatino Linotype" w:eastAsia="Palatino Linotype" w:hAnsi="Palatino Linotype" w:cs="Palatino Linotype"/>
          <w:color w:val="000000"/>
          <w:sz w:val="20"/>
          <w:szCs w:val="20"/>
        </w:rPr>
        <w:t xml:space="preserve"> </w:t>
      </w:r>
      <w:r w:rsidRPr="00D244A5">
        <w:rPr>
          <w:rFonts w:ascii="Palatino Linotype" w:eastAsia="Palatino Linotype" w:hAnsi="Palatino Linotype" w:cs="Palatino Linotype"/>
          <w:color w:val="000000"/>
          <w:sz w:val="20"/>
          <w:szCs w:val="20"/>
        </w:rPr>
        <w:t xml:space="preserve">% of </w:t>
      </w:r>
      <w:r w:rsidR="000F5932">
        <w:rPr>
          <w:rFonts w:ascii="Palatino Linotype" w:eastAsia="Palatino Linotype" w:hAnsi="Palatino Linotype" w:cs="Palatino Linotype"/>
          <w:color w:val="000000"/>
          <w:sz w:val="20"/>
          <w:szCs w:val="20"/>
        </w:rPr>
        <w:t>t</w:t>
      </w:r>
      <w:r w:rsidRPr="00D244A5">
        <w:rPr>
          <w:rFonts w:ascii="Palatino Linotype" w:eastAsia="Palatino Linotype" w:hAnsi="Palatino Linotype" w:cs="Palatino Linotype"/>
          <w:color w:val="000000"/>
          <w:sz w:val="20"/>
          <w:szCs w:val="20"/>
        </w:rPr>
        <w:t>he patients. Most tumors were classified as WHO grade I (8</w:t>
      </w:r>
      <w:r w:rsidR="00E16E97">
        <w:rPr>
          <w:rFonts w:ascii="Palatino Linotype" w:eastAsia="Palatino Linotype" w:hAnsi="Palatino Linotype" w:cs="Palatino Linotype"/>
          <w:color w:val="000000"/>
          <w:sz w:val="20"/>
          <w:szCs w:val="20"/>
        </w:rPr>
        <w:t>8</w:t>
      </w:r>
      <w:r w:rsidRPr="00D244A5">
        <w:rPr>
          <w:rFonts w:ascii="Palatino Linotype" w:eastAsia="Palatino Linotype" w:hAnsi="Palatino Linotype" w:cs="Palatino Linotype"/>
          <w:color w:val="000000"/>
          <w:sz w:val="20"/>
          <w:szCs w:val="20"/>
        </w:rPr>
        <w:t xml:space="preserve">.0%). </w:t>
      </w:r>
    </w:p>
    <w:bookmarkEnd w:id="4"/>
    <w:p w14:paraId="6B715EA1" w14:textId="5BB6025B" w:rsidR="000F5932" w:rsidRPr="00F94B9E" w:rsidRDefault="000F5932" w:rsidP="000F5932">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Histopathological examination revealed predominantly WHO grade I tumors (n=</w:t>
      </w:r>
      <w:r w:rsidR="00D10E55">
        <w:rPr>
          <w:rFonts w:ascii="Palatino Linotype" w:eastAsia="Palatino Linotype" w:hAnsi="Palatino Linotype" w:cs="Palatino Linotype"/>
          <w:color w:val="000000"/>
          <w:sz w:val="20"/>
          <w:szCs w:val="20"/>
        </w:rPr>
        <w:t>643</w:t>
      </w:r>
      <w:r w:rsidRPr="00F94B9E">
        <w:rPr>
          <w:rFonts w:ascii="Palatino Linotype" w:eastAsia="Palatino Linotype" w:hAnsi="Palatino Linotype" w:cs="Palatino Linotype"/>
          <w:color w:val="000000"/>
          <w:sz w:val="20"/>
          <w:szCs w:val="20"/>
        </w:rPr>
        <w:t>, 8</w:t>
      </w:r>
      <w:r w:rsidR="00D10E55">
        <w:rPr>
          <w:rFonts w:ascii="Palatino Linotype" w:eastAsia="Palatino Linotype" w:hAnsi="Palatino Linotype" w:cs="Palatino Linotype"/>
          <w:color w:val="000000"/>
          <w:sz w:val="20"/>
          <w:szCs w:val="20"/>
        </w:rPr>
        <w:t>8</w:t>
      </w:r>
      <w:r w:rsidRPr="00F94B9E">
        <w:rPr>
          <w:rFonts w:ascii="Palatino Linotype" w:eastAsia="Palatino Linotype" w:hAnsi="Palatino Linotype" w:cs="Palatino Linotype"/>
          <w:color w:val="000000"/>
          <w:sz w:val="20"/>
          <w:szCs w:val="20"/>
        </w:rPr>
        <w:t>.</w:t>
      </w:r>
      <w:r w:rsidR="00D10E55">
        <w:rPr>
          <w:rFonts w:ascii="Palatino Linotype" w:eastAsia="Palatino Linotype" w:hAnsi="Palatino Linotype" w:cs="Palatino Linotype"/>
          <w:color w:val="000000"/>
          <w:sz w:val="20"/>
          <w:szCs w:val="20"/>
        </w:rPr>
        <w:t>0</w:t>
      </w:r>
      <w:r w:rsidRPr="00F94B9E">
        <w:rPr>
          <w:rFonts w:ascii="Palatino Linotype" w:eastAsia="Palatino Linotype" w:hAnsi="Palatino Linotype" w:cs="Palatino Linotype"/>
          <w:color w:val="000000"/>
          <w:sz w:val="20"/>
          <w:szCs w:val="20"/>
        </w:rPr>
        <w:t xml:space="preserve">%), with </w:t>
      </w:r>
      <w:r w:rsidR="00D10E55">
        <w:rPr>
          <w:rFonts w:ascii="Palatino Linotype" w:eastAsia="Palatino Linotype" w:hAnsi="Palatino Linotype" w:cs="Palatino Linotype"/>
          <w:color w:val="000000"/>
          <w:sz w:val="20"/>
          <w:szCs w:val="20"/>
        </w:rPr>
        <w:t>88</w:t>
      </w:r>
      <w:r w:rsidRPr="00F94B9E">
        <w:rPr>
          <w:rFonts w:ascii="Palatino Linotype" w:eastAsia="Palatino Linotype" w:hAnsi="Palatino Linotype" w:cs="Palatino Linotype"/>
          <w:color w:val="000000"/>
          <w:sz w:val="20"/>
          <w:szCs w:val="20"/>
        </w:rPr>
        <w:t xml:space="preserve"> (1</w:t>
      </w:r>
      <w:r w:rsidR="00D10E55">
        <w:rPr>
          <w:rFonts w:ascii="Palatino Linotype" w:eastAsia="Palatino Linotype" w:hAnsi="Palatino Linotype" w:cs="Palatino Linotype"/>
          <w:color w:val="000000"/>
          <w:sz w:val="20"/>
          <w:szCs w:val="20"/>
        </w:rPr>
        <w:t>2</w:t>
      </w:r>
      <w:r w:rsidRPr="00F94B9E">
        <w:rPr>
          <w:rFonts w:ascii="Palatino Linotype" w:eastAsia="Palatino Linotype" w:hAnsi="Palatino Linotype" w:cs="Palatino Linotype"/>
          <w:color w:val="000000"/>
          <w:sz w:val="20"/>
          <w:szCs w:val="20"/>
        </w:rPr>
        <w:t>.</w:t>
      </w:r>
      <w:r w:rsidR="00D10E55">
        <w:rPr>
          <w:rFonts w:ascii="Palatino Linotype" w:eastAsia="Palatino Linotype" w:hAnsi="Palatino Linotype" w:cs="Palatino Linotype"/>
          <w:color w:val="000000"/>
          <w:sz w:val="20"/>
          <w:szCs w:val="20"/>
        </w:rPr>
        <w:t>0</w:t>
      </w:r>
      <w:r w:rsidRPr="00F94B9E">
        <w:rPr>
          <w:rFonts w:ascii="Palatino Linotype" w:eastAsia="Palatino Linotype" w:hAnsi="Palatino Linotype" w:cs="Palatino Linotype"/>
          <w:color w:val="000000"/>
          <w:sz w:val="20"/>
          <w:szCs w:val="20"/>
        </w:rPr>
        <w:t xml:space="preserve"> %) classified as WHO grade II</w:t>
      </w:r>
      <w:r w:rsidR="00D10E55">
        <w:rPr>
          <w:rFonts w:ascii="Palatino Linotype" w:eastAsia="Palatino Linotype" w:hAnsi="Palatino Linotype" w:cs="Palatino Linotype"/>
          <w:color w:val="000000"/>
          <w:sz w:val="20"/>
          <w:szCs w:val="20"/>
        </w:rPr>
        <w:t>/III</w:t>
      </w:r>
      <w:r w:rsidRPr="00F94B9E">
        <w:rPr>
          <w:rFonts w:ascii="Palatino Linotype" w:eastAsia="Palatino Linotype" w:hAnsi="Palatino Linotype" w:cs="Palatino Linotype"/>
          <w:color w:val="000000"/>
          <w:sz w:val="20"/>
          <w:szCs w:val="20"/>
        </w:rPr>
        <w:t xml:space="preserve">. </w:t>
      </w:r>
      <w:r w:rsidRPr="00F94B9E">
        <w:rPr>
          <w:rFonts w:ascii="Palatino Linotype" w:eastAsia="Palatino Linotype" w:hAnsi="Palatino Linotype" w:cs="Palatino Linotype"/>
          <w:color w:val="000000"/>
          <w:sz w:val="20"/>
          <w:szCs w:val="20"/>
        </w:rPr>
        <w:tab/>
      </w:r>
    </w:p>
    <w:p w14:paraId="6F6E098D" w14:textId="77777777" w:rsidR="000F5932" w:rsidRPr="00D244A5" w:rsidRDefault="000F5932"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11AF5220" w14:textId="77777777" w:rsidR="00AB700A"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r w:rsidRPr="00D244A5">
        <w:rPr>
          <w:rFonts w:ascii="Palatino Linotype" w:eastAsia="Palatino Linotype" w:hAnsi="Palatino Linotype" w:cs="Palatino Linotype"/>
          <w:b/>
          <w:bCs/>
          <w:color w:val="000000"/>
          <w:sz w:val="20"/>
          <w:szCs w:val="20"/>
        </w:rPr>
        <w:t>Clinical outcomes</w:t>
      </w:r>
    </w:p>
    <w:p w14:paraId="280F9FAC" w14:textId="1087C974" w:rsidR="001C2266" w:rsidRDefault="001C2266" w:rsidP="001C2266">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 xml:space="preserve">Postoperative complications occurred in </w:t>
      </w:r>
      <w:r>
        <w:rPr>
          <w:rFonts w:ascii="Palatino Linotype" w:eastAsia="Palatino Linotype" w:hAnsi="Palatino Linotype" w:cs="Palatino Linotype"/>
          <w:color w:val="000000"/>
          <w:sz w:val="20"/>
          <w:szCs w:val="20"/>
        </w:rPr>
        <w:t>290</w:t>
      </w:r>
      <w:r w:rsidRPr="00F94B9E">
        <w:rPr>
          <w:rFonts w:ascii="Palatino Linotype" w:eastAsia="Palatino Linotype" w:hAnsi="Palatino Linotype" w:cs="Palatino Linotype"/>
          <w:color w:val="000000"/>
          <w:sz w:val="20"/>
          <w:szCs w:val="20"/>
        </w:rPr>
        <w:t xml:space="preserve"> of </w:t>
      </w:r>
      <w:r>
        <w:rPr>
          <w:rFonts w:ascii="Palatino Linotype" w:eastAsia="Palatino Linotype" w:hAnsi="Palatino Linotype" w:cs="Palatino Linotype"/>
          <w:color w:val="000000"/>
          <w:sz w:val="20"/>
          <w:szCs w:val="20"/>
        </w:rPr>
        <w:t>731</w:t>
      </w:r>
      <w:r w:rsidRPr="00F94B9E">
        <w:rPr>
          <w:rFonts w:ascii="Palatino Linotype" w:eastAsia="Palatino Linotype" w:hAnsi="Palatino Linotype" w:cs="Palatino Linotype"/>
          <w:color w:val="000000"/>
          <w:sz w:val="20"/>
          <w:szCs w:val="20"/>
        </w:rPr>
        <w:t xml:space="preserve"> patients (3</w:t>
      </w:r>
      <w:r>
        <w:rPr>
          <w:rFonts w:ascii="Palatino Linotype" w:eastAsia="Palatino Linotype" w:hAnsi="Palatino Linotype" w:cs="Palatino Linotype"/>
          <w:color w:val="000000"/>
          <w:sz w:val="20"/>
          <w:szCs w:val="20"/>
        </w:rPr>
        <w:t>9.7</w:t>
      </w:r>
      <w:r w:rsidRPr="00F94B9E">
        <w:rPr>
          <w:rFonts w:ascii="Palatino Linotype" w:eastAsia="Palatino Linotype" w:hAnsi="Palatino Linotype" w:cs="Palatino Linotype"/>
          <w:color w:val="000000"/>
          <w:sz w:val="20"/>
          <w:szCs w:val="20"/>
        </w:rPr>
        <w:t>%), including neurological, systemic, and surgical adverse events</w:t>
      </w:r>
      <w:r w:rsidR="00D63A24">
        <w:rPr>
          <w:rFonts w:ascii="Palatino Linotype" w:eastAsia="Palatino Linotype" w:hAnsi="Palatino Linotype" w:cs="Palatino Linotype"/>
          <w:color w:val="000000"/>
          <w:sz w:val="20"/>
          <w:szCs w:val="20"/>
        </w:rPr>
        <w:t xml:space="preserve">, </w:t>
      </w:r>
      <w:r w:rsidR="00D63A24" w:rsidRPr="00D244A5">
        <w:rPr>
          <w:rFonts w:ascii="Palatino Linotype" w:eastAsia="Palatino Linotype" w:hAnsi="Palatino Linotype" w:cs="Palatino Linotype"/>
          <w:color w:val="000000"/>
          <w:sz w:val="20"/>
          <w:szCs w:val="20"/>
        </w:rPr>
        <w:t>with</w:t>
      </w:r>
      <w:r w:rsidR="00D63A24">
        <w:rPr>
          <w:rFonts w:ascii="Palatino Linotype" w:eastAsia="Palatino Linotype" w:hAnsi="Palatino Linotype" w:cs="Palatino Linotype"/>
          <w:color w:val="000000"/>
          <w:sz w:val="20"/>
          <w:szCs w:val="20"/>
        </w:rPr>
        <w:t xml:space="preserve"> a severe complication rate of 7.0% (n=51) according to the Landriel-</w:t>
      </w:r>
      <w:r w:rsidR="00D63A24" w:rsidRPr="00DA1654">
        <w:rPr>
          <w:rFonts w:ascii="Palatino Linotype" w:eastAsia="Palatino Linotype" w:hAnsi="Palatino Linotype" w:cs="Palatino Linotype"/>
          <w:color w:val="000000"/>
          <w:sz w:val="20"/>
          <w:szCs w:val="20"/>
        </w:rPr>
        <w:t xml:space="preserve"> </w:t>
      </w:r>
      <w:r w:rsidR="00D63A24" w:rsidRPr="00D244A5">
        <w:rPr>
          <w:rFonts w:ascii="Palatino Linotype" w:eastAsia="Palatino Linotype" w:hAnsi="Palatino Linotype" w:cs="Palatino Linotype"/>
          <w:color w:val="000000"/>
          <w:sz w:val="20"/>
          <w:szCs w:val="20"/>
        </w:rPr>
        <w:t>Ibáñez classification</w:t>
      </w:r>
      <w:r w:rsidRPr="00F94B9E">
        <w:rPr>
          <w:rFonts w:ascii="Palatino Linotype" w:eastAsia="Palatino Linotype" w:hAnsi="Palatino Linotype" w:cs="Palatino Linotype"/>
          <w:color w:val="000000"/>
          <w:sz w:val="20"/>
          <w:szCs w:val="20"/>
        </w:rPr>
        <w:t xml:space="preserve">. Neurological complications were the most frequent and were observed in </w:t>
      </w:r>
      <w:r>
        <w:rPr>
          <w:rFonts w:ascii="Palatino Linotype" w:eastAsia="Palatino Linotype" w:hAnsi="Palatino Linotype" w:cs="Palatino Linotype"/>
          <w:color w:val="000000"/>
          <w:sz w:val="20"/>
          <w:szCs w:val="20"/>
        </w:rPr>
        <w:t>193</w:t>
      </w:r>
      <w:r w:rsidRPr="00F94B9E">
        <w:rPr>
          <w:rFonts w:ascii="Palatino Linotype" w:eastAsia="Palatino Linotype" w:hAnsi="Palatino Linotype" w:cs="Palatino Linotype"/>
          <w:color w:val="000000"/>
          <w:sz w:val="20"/>
          <w:szCs w:val="20"/>
        </w:rPr>
        <w:t xml:space="preserve"> patients (2</w:t>
      </w:r>
      <w:r w:rsidR="00D63A24">
        <w:rPr>
          <w:rFonts w:ascii="Palatino Linotype" w:eastAsia="Palatino Linotype" w:hAnsi="Palatino Linotype" w:cs="Palatino Linotype"/>
          <w:color w:val="000000"/>
          <w:sz w:val="20"/>
          <w:szCs w:val="20"/>
        </w:rPr>
        <w:t>6</w:t>
      </w:r>
      <w:r w:rsidRPr="00F94B9E">
        <w:rPr>
          <w:rFonts w:ascii="Palatino Linotype" w:eastAsia="Palatino Linotype" w:hAnsi="Palatino Linotype" w:cs="Palatino Linotype"/>
          <w:color w:val="000000"/>
          <w:sz w:val="20"/>
          <w:szCs w:val="20"/>
        </w:rPr>
        <w:t>.</w:t>
      </w:r>
      <w:r w:rsidR="00D63A24">
        <w:rPr>
          <w:rFonts w:ascii="Palatino Linotype" w:eastAsia="Palatino Linotype" w:hAnsi="Palatino Linotype" w:cs="Palatino Linotype"/>
          <w:color w:val="000000"/>
          <w:sz w:val="20"/>
          <w:szCs w:val="20"/>
        </w:rPr>
        <w:t>4</w:t>
      </w:r>
      <w:r w:rsidRPr="00F94B9E">
        <w:rPr>
          <w:rFonts w:ascii="Palatino Linotype" w:eastAsia="Palatino Linotype" w:hAnsi="Palatino Linotype" w:cs="Palatino Linotype"/>
          <w:color w:val="000000"/>
          <w:sz w:val="20"/>
          <w:szCs w:val="20"/>
        </w:rPr>
        <w:t xml:space="preserve">%), including </w:t>
      </w:r>
      <w:r w:rsidR="00D63A24">
        <w:rPr>
          <w:rFonts w:ascii="Palatino Linotype" w:eastAsia="Palatino Linotype" w:hAnsi="Palatino Linotype" w:cs="Palatino Linotype"/>
          <w:color w:val="000000"/>
          <w:sz w:val="20"/>
          <w:szCs w:val="20"/>
        </w:rPr>
        <w:t>visual</w:t>
      </w:r>
      <w:r w:rsidRPr="00F94B9E">
        <w:rPr>
          <w:rFonts w:ascii="Palatino Linotype" w:eastAsia="Palatino Linotype" w:hAnsi="Palatino Linotype" w:cs="Palatino Linotype"/>
          <w:color w:val="000000"/>
          <w:sz w:val="20"/>
          <w:szCs w:val="20"/>
        </w:rPr>
        <w:t xml:space="preserve"> deficits in </w:t>
      </w:r>
      <w:r w:rsidR="00D63A24">
        <w:rPr>
          <w:rFonts w:ascii="Palatino Linotype" w:eastAsia="Palatino Linotype" w:hAnsi="Palatino Linotype" w:cs="Palatino Linotype"/>
          <w:color w:val="000000"/>
          <w:sz w:val="20"/>
          <w:szCs w:val="20"/>
        </w:rPr>
        <w:t>79</w:t>
      </w:r>
      <w:r w:rsidRPr="00F94B9E">
        <w:rPr>
          <w:rFonts w:ascii="Palatino Linotype" w:eastAsia="Palatino Linotype" w:hAnsi="Palatino Linotype" w:cs="Palatino Linotype"/>
          <w:color w:val="000000"/>
          <w:sz w:val="20"/>
          <w:szCs w:val="20"/>
        </w:rPr>
        <w:t xml:space="preserve"> patients (</w:t>
      </w:r>
      <w:r w:rsidR="00D63A24">
        <w:rPr>
          <w:rFonts w:ascii="Palatino Linotype" w:eastAsia="Palatino Linotype" w:hAnsi="Palatino Linotype" w:cs="Palatino Linotype"/>
          <w:color w:val="000000"/>
          <w:sz w:val="20"/>
          <w:szCs w:val="20"/>
        </w:rPr>
        <w:t>10.8</w:t>
      </w:r>
      <w:r w:rsidRPr="00F94B9E">
        <w:rPr>
          <w:rFonts w:ascii="Palatino Linotype" w:eastAsia="Palatino Linotype" w:hAnsi="Palatino Linotype" w:cs="Palatino Linotype"/>
          <w:color w:val="000000"/>
          <w:sz w:val="20"/>
          <w:szCs w:val="20"/>
        </w:rPr>
        <w:t xml:space="preserve">%), </w:t>
      </w:r>
      <w:r w:rsidR="00D63A24" w:rsidRPr="00F94B9E">
        <w:rPr>
          <w:rFonts w:ascii="Palatino Linotype" w:eastAsia="Palatino Linotype" w:hAnsi="Palatino Linotype" w:cs="Palatino Linotype"/>
          <w:color w:val="000000"/>
          <w:sz w:val="20"/>
          <w:szCs w:val="20"/>
        </w:rPr>
        <w:t xml:space="preserve">cognitive or psychiatric disturbances </w:t>
      </w:r>
      <w:r w:rsidRPr="00F94B9E">
        <w:rPr>
          <w:rFonts w:ascii="Palatino Linotype" w:eastAsia="Palatino Linotype" w:hAnsi="Palatino Linotype" w:cs="Palatino Linotype"/>
          <w:color w:val="000000"/>
          <w:sz w:val="20"/>
          <w:szCs w:val="20"/>
        </w:rPr>
        <w:t xml:space="preserve">in </w:t>
      </w:r>
      <w:r w:rsidR="00D63A24">
        <w:rPr>
          <w:rFonts w:ascii="Palatino Linotype" w:eastAsia="Palatino Linotype" w:hAnsi="Palatino Linotype" w:cs="Palatino Linotype"/>
          <w:color w:val="000000"/>
          <w:sz w:val="20"/>
          <w:szCs w:val="20"/>
        </w:rPr>
        <w:t>78</w:t>
      </w:r>
      <w:r w:rsidRPr="00F94B9E">
        <w:rPr>
          <w:rFonts w:ascii="Palatino Linotype" w:eastAsia="Palatino Linotype" w:hAnsi="Palatino Linotype" w:cs="Palatino Linotype"/>
          <w:color w:val="000000"/>
          <w:sz w:val="20"/>
          <w:szCs w:val="20"/>
        </w:rPr>
        <w:t xml:space="preserve"> patients (</w:t>
      </w:r>
      <w:r w:rsidR="00D63A24">
        <w:rPr>
          <w:rFonts w:ascii="Palatino Linotype" w:eastAsia="Palatino Linotype" w:hAnsi="Palatino Linotype" w:cs="Palatino Linotype"/>
          <w:color w:val="000000"/>
          <w:sz w:val="20"/>
          <w:szCs w:val="20"/>
        </w:rPr>
        <w:t>10</w:t>
      </w:r>
      <w:r w:rsidRPr="00F94B9E">
        <w:rPr>
          <w:rFonts w:ascii="Palatino Linotype" w:eastAsia="Palatino Linotype" w:hAnsi="Palatino Linotype" w:cs="Palatino Linotype"/>
          <w:color w:val="000000"/>
          <w:sz w:val="20"/>
          <w:szCs w:val="20"/>
        </w:rPr>
        <w:t>.</w:t>
      </w:r>
      <w:r w:rsidR="00D63A24">
        <w:rPr>
          <w:rFonts w:ascii="Palatino Linotype" w:eastAsia="Palatino Linotype" w:hAnsi="Palatino Linotype" w:cs="Palatino Linotype"/>
          <w:color w:val="000000"/>
          <w:sz w:val="20"/>
          <w:szCs w:val="20"/>
        </w:rPr>
        <w:t>6</w:t>
      </w:r>
      <w:r w:rsidRPr="00F94B9E">
        <w:rPr>
          <w:rFonts w:ascii="Palatino Linotype" w:eastAsia="Palatino Linotype" w:hAnsi="Palatino Linotype" w:cs="Palatino Linotype"/>
          <w:color w:val="000000"/>
          <w:sz w:val="20"/>
          <w:szCs w:val="20"/>
        </w:rPr>
        <w:t>%),</w:t>
      </w:r>
      <w:r w:rsidR="00D63A24">
        <w:rPr>
          <w:rFonts w:ascii="Palatino Linotype" w:eastAsia="Palatino Linotype" w:hAnsi="Palatino Linotype" w:cs="Palatino Linotype"/>
          <w:color w:val="000000"/>
          <w:sz w:val="20"/>
          <w:szCs w:val="20"/>
        </w:rPr>
        <w:t xml:space="preserve"> </w:t>
      </w:r>
      <w:r w:rsidRPr="00F94B9E">
        <w:rPr>
          <w:rFonts w:ascii="Palatino Linotype" w:eastAsia="Palatino Linotype" w:hAnsi="Palatino Linotype" w:cs="Palatino Linotype"/>
          <w:color w:val="000000"/>
          <w:sz w:val="20"/>
          <w:szCs w:val="20"/>
        </w:rPr>
        <w:t xml:space="preserve">and </w:t>
      </w:r>
      <w:r w:rsidR="00D63A24">
        <w:rPr>
          <w:rFonts w:ascii="Palatino Linotype" w:eastAsia="Palatino Linotype" w:hAnsi="Palatino Linotype" w:cs="Palatino Linotype"/>
          <w:color w:val="000000"/>
          <w:sz w:val="20"/>
          <w:szCs w:val="20"/>
        </w:rPr>
        <w:t>motor deficits</w:t>
      </w:r>
      <w:r w:rsidRPr="00F94B9E">
        <w:rPr>
          <w:rFonts w:ascii="Palatino Linotype" w:eastAsia="Palatino Linotype" w:hAnsi="Palatino Linotype" w:cs="Palatino Linotype"/>
          <w:color w:val="000000"/>
          <w:sz w:val="20"/>
          <w:szCs w:val="20"/>
        </w:rPr>
        <w:t xml:space="preserve"> in </w:t>
      </w:r>
      <w:r w:rsidR="00D63A24">
        <w:rPr>
          <w:rFonts w:ascii="Palatino Linotype" w:eastAsia="Palatino Linotype" w:hAnsi="Palatino Linotype" w:cs="Palatino Linotype"/>
          <w:color w:val="000000"/>
          <w:sz w:val="20"/>
          <w:szCs w:val="20"/>
        </w:rPr>
        <w:t>76</w:t>
      </w:r>
      <w:r w:rsidRPr="00F94B9E">
        <w:rPr>
          <w:rFonts w:ascii="Palatino Linotype" w:eastAsia="Palatino Linotype" w:hAnsi="Palatino Linotype" w:cs="Palatino Linotype"/>
          <w:color w:val="000000"/>
          <w:sz w:val="20"/>
          <w:szCs w:val="20"/>
        </w:rPr>
        <w:t xml:space="preserve"> patients (</w:t>
      </w:r>
      <w:r w:rsidR="00D63A24">
        <w:rPr>
          <w:rFonts w:ascii="Palatino Linotype" w:eastAsia="Palatino Linotype" w:hAnsi="Palatino Linotype" w:cs="Palatino Linotype"/>
          <w:color w:val="000000"/>
          <w:sz w:val="20"/>
          <w:szCs w:val="20"/>
        </w:rPr>
        <w:t>10.4</w:t>
      </w:r>
      <w:r w:rsidRPr="00F94B9E">
        <w:rPr>
          <w:rFonts w:ascii="Palatino Linotype" w:eastAsia="Palatino Linotype" w:hAnsi="Palatino Linotype" w:cs="Palatino Linotype"/>
          <w:color w:val="000000"/>
          <w:sz w:val="20"/>
          <w:szCs w:val="20"/>
        </w:rPr>
        <w:t>%).</w:t>
      </w:r>
    </w:p>
    <w:p w14:paraId="3C2389DA" w14:textId="77777777" w:rsidR="0091278A" w:rsidRDefault="001C2266" w:rsidP="001C2266">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The most common non</w:t>
      </w:r>
      <w:r w:rsidR="00D63A24">
        <w:rPr>
          <w:rFonts w:ascii="Palatino Linotype" w:eastAsia="Palatino Linotype" w:hAnsi="Palatino Linotype" w:cs="Palatino Linotype"/>
          <w:color w:val="000000"/>
          <w:sz w:val="20"/>
          <w:szCs w:val="20"/>
        </w:rPr>
        <w:t>-</w:t>
      </w:r>
      <w:r w:rsidRPr="00F94B9E">
        <w:rPr>
          <w:rFonts w:ascii="Palatino Linotype" w:eastAsia="Palatino Linotype" w:hAnsi="Palatino Linotype" w:cs="Palatino Linotype"/>
          <w:color w:val="000000"/>
          <w:sz w:val="20"/>
          <w:szCs w:val="20"/>
        </w:rPr>
        <w:t>neurological complications were systemic infections (</w:t>
      </w:r>
      <w:r w:rsidR="007B46FB">
        <w:rPr>
          <w:rFonts w:ascii="Palatino Linotype" w:eastAsia="Palatino Linotype" w:hAnsi="Palatino Linotype" w:cs="Palatino Linotype"/>
          <w:color w:val="000000"/>
          <w:sz w:val="20"/>
          <w:szCs w:val="20"/>
        </w:rPr>
        <w:t>72</w:t>
      </w:r>
      <w:r w:rsidRPr="00F94B9E">
        <w:rPr>
          <w:rFonts w:ascii="Palatino Linotype" w:eastAsia="Palatino Linotype" w:hAnsi="Palatino Linotype" w:cs="Palatino Linotype"/>
          <w:color w:val="000000"/>
          <w:sz w:val="20"/>
          <w:szCs w:val="20"/>
        </w:rPr>
        <w:t xml:space="preserve"> patients, </w:t>
      </w:r>
      <w:r w:rsidR="007B46FB">
        <w:rPr>
          <w:rFonts w:ascii="Palatino Linotype" w:eastAsia="Palatino Linotype" w:hAnsi="Palatino Linotype" w:cs="Palatino Linotype"/>
          <w:color w:val="000000"/>
          <w:sz w:val="20"/>
          <w:szCs w:val="20"/>
        </w:rPr>
        <w:t>9.9</w:t>
      </w:r>
      <w:r w:rsidRPr="00F94B9E">
        <w:rPr>
          <w:rFonts w:ascii="Palatino Linotype" w:eastAsia="Palatino Linotype" w:hAnsi="Palatino Linotype" w:cs="Palatino Linotype"/>
          <w:color w:val="000000"/>
          <w:sz w:val="20"/>
          <w:szCs w:val="20"/>
        </w:rPr>
        <w:t>%), deep venous thrombosis (</w:t>
      </w:r>
      <w:r w:rsidR="007B46FB">
        <w:rPr>
          <w:rFonts w:ascii="Palatino Linotype" w:eastAsia="Palatino Linotype" w:hAnsi="Palatino Linotype" w:cs="Palatino Linotype"/>
          <w:color w:val="000000"/>
          <w:sz w:val="20"/>
          <w:szCs w:val="20"/>
        </w:rPr>
        <w:t>35</w:t>
      </w:r>
      <w:r w:rsidRPr="00F94B9E">
        <w:rPr>
          <w:rFonts w:ascii="Palatino Linotype" w:eastAsia="Palatino Linotype" w:hAnsi="Palatino Linotype" w:cs="Palatino Linotype"/>
          <w:color w:val="000000"/>
          <w:sz w:val="20"/>
          <w:szCs w:val="20"/>
        </w:rPr>
        <w:t xml:space="preserve"> patients, </w:t>
      </w:r>
      <w:r w:rsidR="007B46FB">
        <w:rPr>
          <w:rFonts w:ascii="Palatino Linotype" w:eastAsia="Palatino Linotype" w:hAnsi="Palatino Linotype" w:cs="Palatino Linotype"/>
          <w:color w:val="000000"/>
          <w:sz w:val="20"/>
          <w:szCs w:val="20"/>
        </w:rPr>
        <w:t>4</w:t>
      </w:r>
      <w:r w:rsidRPr="00F94B9E">
        <w:rPr>
          <w:rFonts w:ascii="Palatino Linotype" w:eastAsia="Palatino Linotype" w:hAnsi="Palatino Linotype" w:cs="Palatino Linotype"/>
          <w:color w:val="000000"/>
          <w:sz w:val="20"/>
          <w:szCs w:val="20"/>
        </w:rPr>
        <w:t>.</w:t>
      </w:r>
      <w:r w:rsidR="007B46FB">
        <w:rPr>
          <w:rFonts w:ascii="Palatino Linotype" w:eastAsia="Palatino Linotype" w:hAnsi="Palatino Linotype" w:cs="Palatino Linotype"/>
          <w:color w:val="000000"/>
          <w:sz w:val="20"/>
          <w:szCs w:val="20"/>
        </w:rPr>
        <w:t>8</w:t>
      </w:r>
      <w:r w:rsidRPr="00F94B9E">
        <w:rPr>
          <w:rFonts w:ascii="Palatino Linotype" w:eastAsia="Palatino Linotype" w:hAnsi="Palatino Linotype" w:cs="Palatino Linotype"/>
          <w:color w:val="000000"/>
          <w:sz w:val="20"/>
          <w:szCs w:val="20"/>
        </w:rPr>
        <w:t>%), and postoperative hematoma (</w:t>
      </w:r>
      <w:r w:rsidR="007B46FB">
        <w:rPr>
          <w:rFonts w:ascii="Palatino Linotype" w:eastAsia="Palatino Linotype" w:hAnsi="Palatino Linotype" w:cs="Palatino Linotype"/>
          <w:color w:val="000000"/>
          <w:sz w:val="20"/>
          <w:szCs w:val="20"/>
        </w:rPr>
        <w:t>27</w:t>
      </w:r>
      <w:r w:rsidRPr="00F94B9E">
        <w:rPr>
          <w:rFonts w:ascii="Palatino Linotype" w:eastAsia="Palatino Linotype" w:hAnsi="Palatino Linotype" w:cs="Palatino Linotype"/>
          <w:color w:val="000000"/>
          <w:sz w:val="20"/>
          <w:szCs w:val="20"/>
        </w:rPr>
        <w:t xml:space="preserve"> patients, </w:t>
      </w:r>
      <w:r w:rsidR="007B46FB">
        <w:rPr>
          <w:rFonts w:ascii="Palatino Linotype" w:eastAsia="Palatino Linotype" w:hAnsi="Palatino Linotype" w:cs="Palatino Linotype"/>
          <w:color w:val="000000"/>
          <w:sz w:val="20"/>
          <w:szCs w:val="20"/>
        </w:rPr>
        <w:t>3</w:t>
      </w:r>
      <w:r w:rsidRPr="00F94B9E">
        <w:rPr>
          <w:rFonts w:ascii="Palatino Linotype" w:eastAsia="Palatino Linotype" w:hAnsi="Palatino Linotype" w:cs="Palatino Linotype"/>
          <w:color w:val="000000"/>
          <w:sz w:val="20"/>
          <w:szCs w:val="20"/>
        </w:rPr>
        <w:t>.</w:t>
      </w:r>
      <w:r w:rsidR="007B46FB">
        <w:rPr>
          <w:rFonts w:ascii="Palatino Linotype" w:eastAsia="Palatino Linotype" w:hAnsi="Palatino Linotype" w:cs="Palatino Linotype"/>
          <w:color w:val="000000"/>
          <w:sz w:val="20"/>
          <w:szCs w:val="20"/>
        </w:rPr>
        <w:t>7</w:t>
      </w:r>
      <w:r w:rsidRPr="00F94B9E">
        <w:rPr>
          <w:rFonts w:ascii="Palatino Linotype" w:eastAsia="Palatino Linotype" w:hAnsi="Palatino Linotype" w:cs="Palatino Linotype"/>
          <w:color w:val="000000"/>
          <w:sz w:val="20"/>
          <w:szCs w:val="20"/>
        </w:rPr>
        <w:t xml:space="preserve">%). </w:t>
      </w:r>
    </w:p>
    <w:p w14:paraId="7CA28CAC" w14:textId="66063592" w:rsidR="0091278A" w:rsidRDefault="0091278A" w:rsidP="0091278A">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lastRenderedPageBreak/>
        <w:t xml:space="preserve">Most complications were managed conservatively, with </w:t>
      </w:r>
      <w:r w:rsidR="0073633E">
        <w:rPr>
          <w:rFonts w:ascii="Palatino Linotype" w:eastAsia="Palatino Linotype" w:hAnsi="Palatino Linotype" w:cs="Palatino Linotype"/>
          <w:color w:val="000000"/>
          <w:sz w:val="20"/>
          <w:szCs w:val="20"/>
        </w:rPr>
        <w:t>157 patients (</w:t>
      </w:r>
      <w:r>
        <w:rPr>
          <w:rFonts w:ascii="Palatino Linotype" w:eastAsia="Palatino Linotype" w:hAnsi="Palatino Linotype" w:cs="Palatino Linotype"/>
          <w:color w:val="000000"/>
          <w:sz w:val="20"/>
          <w:szCs w:val="20"/>
        </w:rPr>
        <w:t>54.1</w:t>
      </w:r>
      <w:r w:rsidRPr="00D244A5">
        <w:rPr>
          <w:rFonts w:ascii="Palatino Linotype" w:eastAsia="Palatino Linotype" w:hAnsi="Palatino Linotype" w:cs="Palatino Linotype"/>
          <w:color w:val="000000"/>
          <w:sz w:val="20"/>
          <w:szCs w:val="20"/>
        </w:rPr>
        <w:t>%</w:t>
      </w:r>
      <w:r w:rsidR="0073633E">
        <w:rPr>
          <w:rFonts w:ascii="Palatino Linotype" w:eastAsia="Palatino Linotype" w:hAnsi="Palatino Linotype" w:cs="Palatino Linotype"/>
          <w:color w:val="000000"/>
          <w:sz w:val="20"/>
          <w:szCs w:val="20"/>
        </w:rPr>
        <w:t>)</w:t>
      </w:r>
      <w:r w:rsidRPr="00D244A5">
        <w:rPr>
          <w:rFonts w:ascii="Palatino Linotype" w:eastAsia="Palatino Linotype" w:hAnsi="Palatino Linotype" w:cs="Palatino Linotype"/>
          <w:color w:val="000000"/>
          <w:sz w:val="20"/>
          <w:szCs w:val="20"/>
        </w:rPr>
        <w:t xml:space="preserve"> requiring no specific treatment, </w:t>
      </w:r>
      <w:r w:rsidR="0073633E">
        <w:rPr>
          <w:rFonts w:ascii="Palatino Linotype" w:eastAsia="Palatino Linotype" w:hAnsi="Palatino Linotype" w:cs="Palatino Linotype"/>
          <w:color w:val="000000"/>
          <w:sz w:val="20"/>
          <w:szCs w:val="20"/>
        </w:rPr>
        <w:t>96 patients (</w:t>
      </w:r>
      <w:r>
        <w:rPr>
          <w:rFonts w:ascii="Palatino Linotype" w:eastAsia="Palatino Linotype" w:hAnsi="Palatino Linotype" w:cs="Palatino Linotype"/>
          <w:color w:val="000000"/>
          <w:sz w:val="20"/>
          <w:szCs w:val="20"/>
        </w:rPr>
        <w:t>33.1</w:t>
      </w:r>
      <w:r w:rsidRPr="00D244A5">
        <w:rPr>
          <w:rFonts w:ascii="Palatino Linotype" w:eastAsia="Palatino Linotype" w:hAnsi="Palatino Linotype" w:cs="Palatino Linotype"/>
          <w:color w:val="000000"/>
          <w:sz w:val="20"/>
          <w:szCs w:val="20"/>
        </w:rPr>
        <w:t>%</w:t>
      </w:r>
      <w:r w:rsidR="0073633E">
        <w:rPr>
          <w:rFonts w:ascii="Palatino Linotype" w:eastAsia="Palatino Linotype" w:hAnsi="Palatino Linotype" w:cs="Palatino Linotype"/>
          <w:color w:val="000000"/>
          <w:sz w:val="20"/>
          <w:szCs w:val="20"/>
        </w:rPr>
        <w:t>)</w:t>
      </w:r>
      <w:r w:rsidRPr="00D244A5">
        <w:rPr>
          <w:rFonts w:ascii="Palatino Linotype" w:eastAsia="Palatino Linotype" w:hAnsi="Palatino Linotype" w:cs="Palatino Linotype"/>
          <w:color w:val="000000"/>
          <w:sz w:val="20"/>
          <w:szCs w:val="20"/>
        </w:rPr>
        <w:t xml:space="preserve"> requiring medical treatment, and </w:t>
      </w:r>
      <w:r w:rsidR="0073633E">
        <w:rPr>
          <w:rFonts w:ascii="Palatino Linotype" w:eastAsia="Palatino Linotype" w:hAnsi="Palatino Linotype" w:cs="Palatino Linotype"/>
          <w:color w:val="000000"/>
          <w:sz w:val="20"/>
          <w:szCs w:val="20"/>
        </w:rPr>
        <w:t>37 patients (</w:t>
      </w:r>
      <w:r>
        <w:rPr>
          <w:rFonts w:ascii="Palatino Linotype" w:eastAsia="Palatino Linotype" w:hAnsi="Palatino Linotype" w:cs="Palatino Linotype"/>
          <w:color w:val="000000"/>
          <w:sz w:val="20"/>
          <w:szCs w:val="20"/>
        </w:rPr>
        <w:t>12.8</w:t>
      </w:r>
      <w:r w:rsidRPr="00D244A5">
        <w:rPr>
          <w:rFonts w:ascii="Palatino Linotype" w:eastAsia="Palatino Linotype" w:hAnsi="Palatino Linotype" w:cs="Palatino Linotype"/>
          <w:color w:val="000000"/>
          <w:sz w:val="20"/>
          <w:szCs w:val="20"/>
        </w:rPr>
        <w:t>%</w:t>
      </w:r>
      <w:r w:rsidR="0073633E">
        <w:rPr>
          <w:rFonts w:ascii="Palatino Linotype" w:eastAsia="Palatino Linotype" w:hAnsi="Palatino Linotype" w:cs="Palatino Linotype"/>
          <w:color w:val="000000"/>
          <w:sz w:val="20"/>
          <w:szCs w:val="20"/>
        </w:rPr>
        <w:t>)</w:t>
      </w:r>
      <w:r w:rsidRPr="00D244A5">
        <w:rPr>
          <w:rFonts w:ascii="Palatino Linotype" w:eastAsia="Palatino Linotype" w:hAnsi="Palatino Linotype" w:cs="Palatino Linotype"/>
          <w:color w:val="000000"/>
          <w:sz w:val="20"/>
          <w:szCs w:val="20"/>
        </w:rPr>
        <w:t xml:space="preserve"> requiring surgical intervention under general anesthesia. </w:t>
      </w:r>
    </w:p>
    <w:p w14:paraId="02FB9295" w14:textId="15B452BD" w:rsidR="0091278A" w:rsidRDefault="0091278A" w:rsidP="0091278A">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Admission to the i</w:t>
      </w:r>
      <w:r w:rsidRPr="00D244A5">
        <w:rPr>
          <w:rFonts w:ascii="Palatino Linotype" w:eastAsia="Palatino Linotype" w:hAnsi="Palatino Linotype" w:cs="Palatino Linotype"/>
          <w:color w:val="000000"/>
          <w:sz w:val="20"/>
          <w:szCs w:val="20"/>
        </w:rPr>
        <w:t xml:space="preserve">ntensive care unit due to complications was necessary in </w:t>
      </w:r>
      <w:r w:rsidR="00196B61">
        <w:rPr>
          <w:rFonts w:ascii="Palatino Linotype" w:eastAsia="Palatino Linotype" w:hAnsi="Palatino Linotype" w:cs="Palatino Linotype"/>
          <w:color w:val="000000"/>
          <w:sz w:val="20"/>
          <w:szCs w:val="20"/>
        </w:rPr>
        <w:t>18 patients (</w:t>
      </w:r>
      <w:r>
        <w:rPr>
          <w:rFonts w:ascii="Palatino Linotype" w:eastAsia="Palatino Linotype" w:hAnsi="Palatino Linotype" w:cs="Palatino Linotype"/>
          <w:color w:val="000000"/>
          <w:sz w:val="20"/>
          <w:szCs w:val="20"/>
        </w:rPr>
        <w:t>6.2</w:t>
      </w:r>
      <w:r w:rsidRPr="00D244A5">
        <w:rPr>
          <w:rFonts w:ascii="Palatino Linotype" w:eastAsia="Palatino Linotype" w:hAnsi="Palatino Linotype" w:cs="Palatino Linotype"/>
          <w:color w:val="000000"/>
          <w:sz w:val="20"/>
          <w:szCs w:val="20"/>
        </w:rPr>
        <w:t>%</w:t>
      </w:r>
      <w:r w:rsidR="00196B61">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w:t>
      </w:r>
    </w:p>
    <w:p w14:paraId="438F045F" w14:textId="77777777" w:rsidR="00CA2128" w:rsidRPr="00D244A5" w:rsidRDefault="007B46FB" w:rsidP="00CA212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Eleven</w:t>
      </w:r>
      <w:r w:rsidR="001C2266" w:rsidRPr="00F94B9E">
        <w:rPr>
          <w:rFonts w:ascii="Palatino Linotype" w:eastAsia="Palatino Linotype" w:hAnsi="Palatino Linotype" w:cs="Palatino Linotype"/>
          <w:color w:val="000000"/>
          <w:sz w:val="20"/>
          <w:szCs w:val="20"/>
        </w:rPr>
        <w:t xml:space="preserve"> fatal events (</w:t>
      </w:r>
      <w:r>
        <w:rPr>
          <w:rFonts w:ascii="Palatino Linotype" w:eastAsia="Palatino Linotype" w:hAnsi="Palatino Linotype" w:cs="Palatino Linotype"/>
          <w:color w:val="000000"/>
          <w:sz w:val="20"/>
          <w:szCs w:val="20"/>
        </w:rPr>
        <w:t>1.5</w:t>
      </w:r>
      <w:r w:rsidR="001C2266" w:rsidRPr="00F94B9E">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occurred</w:t>
      </w:r>
      <w:r w:rsidR="001C2266" w:rsidRPr="00F94B9E">
        <w:rPr>
          <w:rFonts w:ascii="Palatino Linotype" w:eastAsia="Palatino Linotype" w:hAnsi="Palatino Linotype" w:cs="Palatino Linotype"/>
          <w:color w:val="000000"/>
          <w:sz w:val="20"/>
          <w:szCs w:val="20"/>
        </w:rPr>
        <w:t xml:space="preserve">. Finally, functional deterioration at discharge, defined as worsening of KPS compared with the baseline, was observed in </w:t>
      </w:r>
      <w:r>
        <w:rPr>
          <w:rFonts w:ascii="Palatino Linotype" w:eastAsia="Palatino Linotype" w:hAnsi="Palatino Linotype" w:cs="Palatino Linotype"/>
          <w:color w:val="000000"/>
          <w:sz w:val="20"/>
          <w:szCs w:val="20"/>
        </w:rPr>
        <w:t>100</w:t>
      </w:r>
      <w:r w:rsidR="001C2266" w:rsidRPr="00F94B9E">
        <w:rPr>
          <w:rFonts w:ascii="Palatino Linotype" w:eastAsia="Palatino Linotype" w:hAnsi="Palatino Linotype" w:cs="Palatino Linotype"/>
          <w:color w:val="000000"/>
          <w:sz w:val="20"/>
          <w:szCs w:val="20"/>
        </w:rPr>
        <w:t xml:space="preserve"> patients (1</w:t>
      </w:r>
      <w:r>
        <w:rPr>
          <w:rFonts w:ascii="Palatino Linotype" w:eastAsia="Palatino Linotype" w:hAnsi="Palatino Linotype" w:cs="Palatino Linotype"/>
          <w:color w:val="000000"/>
          <w:sz w:val="20"/>
          <w:szCs w:val="20"/>
        </w:rPr>
        <w:t>3</w:t>
      </w:r>
      <w:r w:rsidR="001C2266" w:rsidRPr="00F94B9E">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7</w:t>
      </w:r>
      <w:r w:rsidR="001C2266" w:rsidRPr="00F94B9E">
        <w:rPr>
          <w:rFonts w:ascii="Palatino Linotype" w:eastAsia="Palatino Linotype" w:hAnsi="Palatino Linotype" w:cs="Palatino Linotype"/>
          <w:color w:val="000000"/>
          <w:sz w:val="20"/>
          <w:szCs w:val="20"/>
        </w:rPr>
        <w:t xml:space="preserve">%). </w:t>
      </w:r>
      <w:r w:rsidR="00CA2128" w:rsidRPr="00D244A5">
        <w:rPr>
          <w:rFonts w:ascii="Palatino Linotype" w:eastAsia="Palatino Linotype" w:hAnsi="Palatino Linotype" w:cs="Palatino Linotype"/>
          <w:color w:val="000000"/>
          <w:sz w:val="20"/>
          <w:szCs w:val="20"/>
        </w:rPr>
        <w:t xml:space="preserve">At discharge, </w:t>
      </w:r>
      <w:r w:rsidR="00CA2128">
        <w:rPr>
          <w:rFonts w:ascii="Palatino Linotype" w:eastAsia="Palatino Linotype" w:hAnsi="Palatino Linotype" w:cs="Palatino Linotype"/>
          <w:color w:val="000000"/>
          <w:sz w:val="20"/>
          <w:szCs w:val="20"/>
        </w:rPr>
        <w:t>36.5</w:t>
      </w:r>
      <w:r w:rsidR="00CA2128" w:rsidRPr="00D244A5">
        <w:rPr>
          <w:rFonts w:ascii="Palatino Linotype" w:eastAsia="Palatino Linotype" w:hAnsi="Palatino Linotype" w:cs="Palatino Linotype"/>
          <w:color w:val="000000"/>
          <w:sz w:val="20"/>
          <w:szCs w:val="20"/>
        </w:rPr>
        <w:t xml:space="preserve">% of the patients demonstrated improved functional status according to KPS </w:t>
      </w:r>
      <w:r w:rsidR="00CA2128">
        <w:rPr>
          <w:rFonts w:ascii="Palatino Linotype" w:eastAsia="Palatino Linotype" w:hAnsi="Palatino Linotype" w:cs="Palatino Linotype"/>
          <w:color w:val="000000"/>
          <w:sz w:val="20"/>
          <w:szCs w:val="20"/>
        </w:rPr>
        <w:t xml:space="preserve">preoperative </w:t>
      </w:r>
      <w:r w:rsidR="00CA2128" w:rsidRPr="00D244A5">
        <w:rPr>
          <w:rFonts w:ascii="Palatino Linotype" w:eastAsia="Palatino Linotype" w:hAnsi="Palatino Linotype" w:cs="Palatino Linotype"/>
          <w:color w:val="000000"/>
          <w:sz w:val="20"/>
          <w:szCs w:val="20"/>
        </w:rPr>
        <w:t>evaluations.</w:t>
      </w:r>
      <w:r w:rsidR="00CA2128">
        <w:rPr>
          <w:rFonts w:ascii="Palatino Linotype" w:eastAsia="Palatino Linotype" w:hAnsi="Palatino Linotype" w:cs="Palatino Linotype"/>
          <w:color w:val="000000"/>
          <w:sz w:val="20"/>
          <w:szCs w:val="20"/>
        </w:rPr>
        <w:t xml:space="preserve"> </w:t>
      </w:r>
      <w:r w:rsidR="00CA2128" w:rsidRPr="00D244A5">
        <w:rPr>
          <w:rFonts w:ascii="Palatino Linotype" w:eastAsia="Palatino Linotype" w:hAnsi="Palatino Linotype" w:cs="Palatino Linotype"/>
          <w:color w:val="000000"/>
          <w:sz w:val="20"/>
          <w:szCs w:val="20"/>
        </w:rPr>
        <w:t>The mean hospital stay was 1</w:t>
      </w:r>
      <w:r w:rsidR="00CA2128">
        <w:rPr>
          <w:rFonts w:ascii="Palatino Linotype" w:eastAsia="Palatino Linotype" w:hAnsi="Palatino Linotype" w:cs="Palatino Linotype"/>
          <w:color w:val="000000"/>
          <w:sz w:val="20"/>
          <w:szCs w:val="20"/>
        </w:rPr>
        <w:t>0</w:t>
      </w:r>
      <w:r w:rsidR="00CA2128" w:rsidRPr="00D244A5">
        <w:rPr>
          <w:rFonts w:ascii="Palatino Linotype" w:eastAsia="Palatino Linotype" w:hAnsi="Palatino Linotype" w:cs="Palatino Linotype"/>
          <w:color w:val="000000"/>
          <w:sz w:val="20"/>
          <w:szCs w:val="20"/>
        </w:rPr>
        <w:t>.</w:t>
      </w:r>
      <w:r w:rsidR="00CA2128">
        <w:rPr>
          <w:rFonts w:ascii="Palatino Linotype" w:eastAsia="Palatino Linotype" w:hAnsi="Palatino Linotype" w:cs="Palatino Linotype"/>
          <w:color w:val="000000"/>
          <w:sz w:val="20"/>
          <w:szCs w:val="20"/>
        </w:rPr>
        <w:t>5</w:t>
      </w:r>
      <w:r w:rsidR="00CA2128" w:rsidRPr="00D244A5">
        <w:rPr>
          <w:rFonts w:ascii="Palatino Linotype" w:eastAsia="Palatino Linotype" w:hAnsi="Palatino Linotype" w:cs="Palatino Linotype"/>
          <w:color w:val="000000"/>
          <w:sz w:val="20"/>
          <w:szCs w:val="20"/>
        </w:rPr>
        <w:t xml:space="preserve"> ± </w:t>
      </w:r>
      <w:r w:rsidR="00CA2128">
        <w:rPr>
          <w:rFonts w:ascii="Palatino Linotype" w:eastAsia="Palatino Linotype" w:hAnsi="Palatino Linotype" w:cs="Palatino Linotype"/>
          <w:color w:val="000000"/>
          <w:sz w:val="20"/>
          <w:szCs w:val="20"/>
        </w:rPr>
        <w:t>7.9</w:t>
      </w:r>
      <w:r w:rsidR="00CA2128" w:rsidRPr="00D244A5">
        <w:rPr>
          <w:rFonts w:ascii="Palatino Linotype" w:eastAsia="Palatino Linotype" w:hAnsi="Palatino Linotype" w:cs="Palatino Linotype"/>
          <w:color w:val="000000"/>
          <w:sz w:val="20"/>
          <w:szCs w:val="20"/>
        </w:rPr>
        <w:t xml:space="preserve"> days. </w:t>
      </w:r>
    </w:p>
    <w:p w14:paraId="7EA80628" w14:textId="15AFF92A" w:rsidR="001C2266" w:rsidRPr="00F94B9E" w:rsidRDefault="001C2266" w:rsidP="001C2266">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F94B9E">
        <w:rPr>
          <w:rFonts w:ascii="Palatino Linotype" w:eastAsia="Palatino Linotype" w:hAnsi="Palatino Linotype" w:cs="Palatino Linotype"/>
          <w:color w:val="000000"/>
          <w:sz w:val="20"/>
          <w:szCs w:val="20"/>
        </w:rPr>
        <w:t>The rates of these endpoints varied across centers (Figure 1; Supplementary Table S1), reinforcing the importance of accounting for center-level heterogeneity in inferential analyses.</w:t>
      </w:r>
    </w:p>
    <w:p w14:paraId="418154E6" w14:textId="77777777" w:rsidR="0077658E" w:rsidRDefault="0077658E" w:rsidP="00F055D8">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p>
    <w:p w14:paraId="6581A76E" w14:textId="44B07B91"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r>
        <w:rPr>
          <w:rFonts w:ascii="Palatino Linotype" w:eastAsia="Palatino Linotype" w:hAnsi="Palatino Linotype" w:cs="Palatino Linotype"/>
          <w:b/>
          <w:bCs/>
          <w:color w:val="000000"/>
          <w:sz w:val="20"/>
          <w:szCs w:val="20"/>
        </w:rPr>
        <w:t>Predictive Models</w:t>
      </w:r>
      <w:r w:rsidRPr="0020030F">
        <w:rPr>
          <w:rFonts w:ascii="Palatino Linotype" w:eastAsia="Palatino Linotype" w:hAnsi="Palatino Linotype" w:cs="Palatino Linotype"/>
          <w:b/>
          <w:bCs/>
          <w:color w:val="000000"/>
          <w:sz w:val="20"/>
          <w:szCs w:val="20"/>
        </w:rPr>
        <w:t xml:space="preserve"> Results</w:t>
      </w:r>
    </w:p>
    <w:p w14:paraId="3A011BC6" w14:textId="009E8AA6" w:rsidR="00AB700A"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B4041F">
        <w:rPr>
          <w:rFonts w:eastAsia="Palatino Linotype"/>
          <w:color w:val="000000"/>
          <w:sz w:val="20"/>
          <w:szCs w:val="20"/>
        </w:rPr>
        <w:t>T</w:t>
      </w:r>
      <w:r w:rsidR="00DE191F" w:rsidRPr="00B4041F">
        <w:rPr>
          <w:rFonts w:eastAsia="Palatino Linotype"/>
          <w:color w:val="000000"/>
          <w:sz w:val="20"/>
          <w:szCs w:val="20"/>
        </w:rPr>
        <w:t>a</w:t>
      </w:r>
      <w:r w:rsidRPr="00B4041F">
        <w:rPr>
          <w:rFonts w:ascii="Palatino Linotype" w:eastAsia="Palatino Linotype" w:hAnsi="Palatino Linotype" w:cs="Palatino Linotype"/>
          <w:color w:val="000000"/>
          <w:sz w:val="20"/>
          <w:szCs w:val="20"/>
        </w:rPr>
        <w:t>ble 3</w:t>
      </w:r>
      <w:r w:rsidR="00353B3C" w:rsidRPr="00B4041F">
        <w:rPr>
          <w:rFonts w:ascii="Palatino Linotype" w:eastAsia="Palatino Linotype" w:hAnsi="Palatino Linotype" w:cs="Palatino Linotype"/>
          <w:color w:val="000000"/>
          <w:sz w:val="20"/>
          <w:szCs w:val="20"/>
        </w:rPr>
        <w:t xml:space="preserve"> s</w:t>
      </w:r>
      <w:r w:rsidR="00EA0B0F" w:rsidRPr="00B4041F">
        <w:rPr>
          <w:rFonts w:ascii="Palatino Linotype" w:eastAsia="Palatino Linotype" w:hAnsi="Palatino Linotype" w:cs="Palatino Linotype"/>
          <w:color w:val="000000"/>
          <w:sz w:val="20"/>
          <w:szCs w:val="20"/>
        </w:rPr>
        <w:t>u</w:t>
      </w:r>
      <w:r w:rsidR="00DE191F" w:rsidRPr="00B4041F">
        <w:rPr>
          <w:rFonts w:ascii="Palatino Linotype" w:eastAsia="Palatino Linotype" w:hAnsi="Palatino Linotype" w:cs="Palatino Linotype"/>
          <w:color w:val="000000"/>
          <w:sz w:val="20"/>
          <w:szCs w:val="20"/>
        </w:rPr>
        <w:t>m</w:t>
      </w:r>
      <w:r w:rsidRPr="00B4041F">
        <w:rPr>
          <w:rFonts w:ascii="Palatino Linotype" w:eastAsia="Palatino Linotype" w:hAnsi="Palatino Linotype" w:cs="Palatino Linotype"/>
          <w:color w:val="000000"/>
          <w:sz w:val="20"/>
          <w:szCs w:val="20"/>
        </w:rPr>
        <w:t>marizes</w:t>
      </w:r>
      <w:r w:rsidRPr="00D244A5">
        <w:rPr>
          <w:rFonts w:ascii="Palatino Linotype" w:eastAsia="Palatino Linotype" w:hAnsi="Palatino Linotype" w:cs="Palatino Linotype"/>
          <w:color w:val="000000"/>
          <w:sz w:val="20"/>
          <w:szCs w:val="20"/>
        </w:rPr>
        <w:t xml:space="preserve"> the most influential predictors identified by permutation importance for each mo</w:t>
      </w:r>
      <w:r w:rsidR="00D9752F">
        <w:rPr>
          <w:rFonts w:ascii="Palatino Linotype" w:eastAsia="Palatino Linotype" w:hAnsi="Palatino Linotype" w:cs="Palatino Linotype"/>
          <w:color w:val="000000"/>
          <w:sz w:val="20"/>
          <w:szCs w:val="20"/>
        </w:rPr>
        <w:t>del and ou</w:t>
      </w:r>
      <w:r w:rsidRPr="00D244A5">
        <w:rPr>
          <w:rFonts w:ascii="Palatino Linotype" w:eastAsia="Palatino Linotype" w:hAnsi="Palatino Linotype" w:cs="Palatino Linotype"/>
          <w:color w:val="000000"/>
          <w:sz w:val="20"/>
          <w:szCs w:val="20"/>
        </w:rPr>
        <w:t>tcome.</w:t>
      </w:r>
    </w:p>
    <w:p w14:paraId="57935B96" w14:textId="77777777" w:rsidR="00AB700A" w:rsidRDefault="00AB700A" w:rsidP="00D40501">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3431EF">
        <w:rPr>
          <w:rFonts w:ascii="Palatino Linotype" w:eastAsia="Palatino Linotype" w:hAnsi="Palatino Linotype" w:cs="Palatino Linotype"/>
          <w:color w:val="000000"/>
          <w:sz w:val="20"/>
          <w:szCs w:val="20"/>
        </w:rPr>
        <w:t xml:space="preserve">Across all models (both preoperative and comprehensive), </w:t>
      </w:r>
      <w:r>
        <w:rPr>
          <w:rFonts w:ascii="Palatino Linotype" w:eastAsia="Palatino Linotype" w:hAnsi="Palatino Linotype" w:cs="Palatino Linotype"/>
          <w:color w:val="000000"/>
          <w:sz w:val="20"/>
          <w:szCs w:val="20"/>
        </w:rPr>
        <w:t>nine</w:t>
      </w:r>
      <w:r w:rsidRPr="003431EF">
        <w:rPr>
          <w:rFonts w:ascii="Palatino Linotype" w:eastAsia="Palatino Linotype" w:hAnsi="Palatino Linotype" w:cs="Palatino Linotype"/>
          <w:color w:val="000000"/>
          <w:sz w:val="20"/>
          <w:szCs w:val="20"/>
        </w:rPr>
        <w:t xml:space="preserve"> variables were consistently ranked as the most</w:t>
      </w:r>
      <w:r>
        <w:rPr>
          <w:rFonts w:ascii="Palatino Linotype" w:eastAsia="Palatino Linotype" w:hAnsi="Palatino Linotype" w:cs="Palatino Linotype"/>
          <w:color w:val="000000"/>
          <w:sz w:val="20"/>
          <w:szCs w:val="20"/>
        </w:rPr>
        <w:t xml:space="preserve"> </w:t>
      </w:r>
      <w:r w:rsidRPr="003431EF">
        <w:rPr>
          <w:rFonts w:ascii="Palatino Linotype" w:eastAsia="Palatino Linotype" w:hAnsi="Palatino Linotype" w:cs="Palatino Linotype"/>
          <w:color w:val="000000"/>
          <w:sz w:val="20"/>
          <w:szCs w:val="20"/>
        </w:rPr>
        <w:t>influential</w:t>
      </w:r>
      <w:r>
        <w:rPr>
          <w:rFonts w:ascii="Palatino Linotype" w:eastAsia="Palatino Linotype" w:hAnsi="Palatino Linotype" w:cs="Palatino Linotype"/>
          <w:color w:val="000000"/>
          <w:sz w:val="20"/>
          <w:szCs w:val="20"/>
        </w:rPr>
        <w:t xml:space="preserve"> in predicting patient outcomes: radiological features, including meningioma</w:t>
      </w:r>
      <w:r w:rsidRPr="003431EF">
        <w:rPr>
          <w:rFonts w:ascii="Palatino Linotype" w:eastAsia="Palatino Linotype" w:hAnsi="Palatino Linotype" w:cs="Palatino Linotype"/>
          <w:color w:val="000000"/>
          <w:sz w:val="20"/>
          <w:szCs w:val="20"/>
        </w:rPr>
        <w:t xml:space="preserve"> </w:t>
      </w:r>
      <w:r w:rsidRPr="0097517A">
        <w:rPr>
          <w:rFonts w:ascii="Palatino Linotype" w:eastAsia="Palatino Linotype" w:hAnsi="Palatino Linotype" w:cs="Palatino Linotype"/>
          <w:b/>
          <w:bCs/>
          <w:color w:val="000000"/>
          <w:sz w:val="20"/>
          <w:szCs w:val="20"/>
        </w:rPr>
        <w:t>diameter</w:t>
      </w:r>
      <w:r w:rsidRPr="003431EF">
        <w:rPr>
          <w:rFonts w:ascii="Palatino Linotype" w:eastAsia="Palatino Linotype" w:hAnsi="Palatino Linotype" w:cs="Palatino Linotype"/>
          <w:color w:val="000000"/>
          <w:sz w:val="20"/>
          <w:szCs w:val="20"/>
        </w:rPr>
        <w:t xml:space="preserve">, </w:t>
      </w:r>
      <w:r w:rsidRPr="004D315A">
        <w:rPr>
          <w:rFonts w:ascii="Palatino Linotype" w:eastAsia="Palatino Linotype" w:hAnsi="Palatino Linotype" w:cs="Palatino Linotype"/>
          <w:color w:val="000000"/>
          <w:sz w:val="20"/>
          <w:szCs w:val="20"/>
        </w:rPr>
        <w:t>presence</w:t>
      </w:r>
      <w:r>
        <w:rPr>
          <w:rFonts w:ascii="Palatino Linotype" w:eastAsia="Palatino Linotype" w:hAnsi="Palatino Linotype" w:cs="Palatino Linotype"/>
          <w:color w:val="000000"/>
          <w:sz w:val="20"/>
          <w:szCs w:val="20"/>
        </w:rPr>
        <w:t xml:space="preserve"> of </w:t>
      </w:r>
      <w:r w:rsidRPr="008624DE">
        <w:rPr>
          <w:rFonts w:ascii="Palatino Linotype" w:eastAsia="Palatino Linotype" w:hAnsi="Palatino Linotype" w:cs="Palatino Linotype"/>
          <w:b/>
          <w:bCs/>
          <w:color w:val="000000"/>
          <w:sz w:val="20"/>
          <w:szCs w:val="20"/>
        </w:rPr>
        <w:t>peritumoral</w:t>
      </w:r>
      <w:r>
        <w:rPr>
          <w:rFonts w:ascii="Palatino Linotype" w:eastAsia="Palatino Linotype" w:hAnsi="Palatino Linotype" w:cs="Palatino Linotype"/>
          <w:color w:val="000000"/>
          <w:sz w:val="20"/>
          <w:szCs w:val="20"/>
        </w:rPr>
        <w:t xml:space="preserve"> </w:t>
      </w:r>
      <w:r w:rsidRPr="00143812">
        <w:rPr>
          <w:rFonts w:ascii="Palatino Linotype" w:eastAsia="Palatino Linotype" w:hAnsi="Palatino Linotype" w:cs="Palatino Linotype"/>
          <w:b/>
          <w:bCs/>
          <w:color w:val="000000"/>
          <w:sz w:val="20"/>
          <w:szCs w:val="20"/>
        </w:rPr>
        <w:t>edema</w:t>
      </w:r>
      <w:r>
        <w:rPr>
          <w:rFonts w:ascii="Palatino Linotype" w:eastAsia="Palatino Linotype" w:hAnsi="Palatino Linotype" w:cs="Palatino Linotype"/>
          <w:color w:val="000000"/>
          <w:sz w:val="20"/>
          <w:szCs w:val="20"/>
        </w:rPr>
        <w:t xml:space="preserve">, </w:t>
      </w:r>
      <w:r w:rsidRPr="000D298B">
        <w:rPr>
          <w:rFonts w:ascii="Palatino Linotype" w:eastAsia="Palatino Linotype" w:hAnsi="Palatino Linotype" w:cs="Palatino Linotype"/>
          <w:b/>
          <w:bCs/>
          <w:color w:val="000000"/>
          <w:sz w:val="20"/>
          <w:szCs w:val="20"/>
        </w:rPr>
        <w:t>cysts</w:t>
      </w:r>
      <w:r>
        <w:rPr>
          <w:rFonts w:ascii="Palatino Linotype" w:eastAsia="Palatino Linotype" w:hAnsi="Palatino Linotype" w:cs="Palatino Linotype"/>
          <w:color w:val="000000"/>
          <w:sz w:val="20"/>
          <w:szCs w:val="20"/>
        </w:rPr>
        <w:t xml:space="preserve">, </w:t>
      </w:r>
      <w:r w:rsidRPr="003431EF">
        <w:rPr>
          <w:rFonts w:ascii="Palatino Linotype" w:eastAsia="Palatino Linotype" w:hAnsi="Palatino Linotype" w:cs="Palatino Linotype"/>
          <w:color w:val="000000"/>
          <w:sz w:val="20"/>
          <w:szCs w:val="20"/>
        </w:rPr>
        <w:t xml:space="preserve">major </w:t>
      </w:r>
      <w:r w:rsidRPr="0097517A">
        <w:rPr>
          <w:rFonts w:ascii="Palatino Linotype" w:eastAsia="Palatino Linotype" w:hAnsi="Palatino Linotype" w:cs="Palatino Linotype"/>
          <w:b/>
          <w:bCs/>
          <w:color w:val="000000"/>
          <w:sz w:val="20"/>
          <w:szCs w:val="20"/>
        </w:rPr>
        <w:t>vessel encasement</w:t>
      </w:r>
      <w:r>
        <w:rPr>
          <w:rFonts w:ascii="Palatino Linotype" w:eastAsia="Palatino Linotype" w:hAnsi="Palatino Linotype" w:cs="Palatino Linotype"/>
          <w:color w:val="000000"/>
          <w:sz w:val="20"/>
          <w:szCs w:val="20"/>
        </w:rPr>
        <w:t>/narrowing</w:t>
      </w:r>
      <w:r w:rsidRPr="003431EF">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w:t>
      </w:r>
      <w:r w:rsidRPr="000D298B">
        <w:rPr>
          <w:rFonts w:ascii="Palatino Linotype" w:eastAsia="Palatino Linotype" w:hAnsi="Palatino Linotype" w:cs="Palatino Linotype"/>
          <w:b/>
          <w:bCs/>
          <w:color w:val="000000"/>
          <w:sz w:val="20"/>
          <w:szCs w:val="20"/>
        </w:rPr>
        <w:t>ventricular</w:t>
      </w:r>
      <w:r>
        <w:rPr>
          <w:rFonts w:ascii="Palatino Linotype" w:eastAsia="Palatino Linotype" w:hAnsi="Palatino Linotype" w:cs="Palatino Linotype"/>
          <w:color w:val="000000"/>
          <w:sz w:val="20"/>
          <w:szCs w:val="20"/>
        </w:rPr>
        <w:t xml:space="preserve"> involvement, and</w:t>
      </w:r>
      <w:r w:rsidRPr="003431EF">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b/>
          <w:bCs/>
          <w:color w:val="000000"/>
          <w:sz w:val="20"/>
          <w:szCs w:val="20"/>
        </w:rPr>
        <w:t>bone invasion</w:t>
      </w:r>
      <w:r>
        <w:rPr>
          <w:rFonts w:ascii="Palatino Linotype" w:eastAsia="Palatino Linotype" w:hAnsi="Palatino Linotype" w:cs="Palatino Linotype"/>
          <w:color w:val="000000"/>
          <w:sz w:val="20"/>
          <w:szCs w:val="20"/>
        </w:rPr>
        <w:t xml:space="preserve">. Patient-related variables included </w:t>
      </w:r>
      <w:r w:rsidRPr="00A45EC8">
        <w:rPr>
          <w:rFonts w:ascii="Palatino Linotype" w:eastAsia="Palatino Linotype" w:hAnsi="Palatino Linotype" w:cs="Palatino Linotype"/>
          <w:b/>
          <w:bCs/>
          <w:color w:val="000000"/>
          <w:sz w:val="20"/>
          <w:szCs w:val="20"/>
        </w:rPr>
        <w:t>age</w:t>
      </w:r>
      <w:r w:rsidRPr="003431EF">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b/>
          <w:bCs/>
          <w:color w:val="000000"/>
          <w:sz w:val="20"/>
          <w:szCs w:val="20"/>
        </w:rPr>
        <w:t>obesity</w:t>
      </w:r>
      <w:r>
        <w:rPr>
          <w:rFonts w:ascii="Palatino Linotype" w:eastAsia="Palatino Linotype" w:hAnsi="Palatino Linotype" w:cs="Palatino Linotype"/>
          <w:color w:val="000000"/>
          <w:sz w:val="20"/>
          <w:szCs w:val="20"/>
        </w:rPr>
        <w:t>, and</w:t>
      </w:r>
      <w:r w:rsidRPr="003431EF">
        <w:rPr>
          <w:rFonts w:ascii="Palatino Linotype" w:eastAsia="Palatino Linotype" w:hAnsi="Palatino Linotype" w:cs="Palatino Linotype"/>
          <w:color w:val="000000"/>
          <w:sz w:val="20"/>
          <w:szCs w:val="20"/>
        </w:rPr>
        <w:t xml:space="preserve"> </w:t>
      </w:r>
      <w:r w:rsidRPr="0097517A">
        <w:rPr>
          <w:rFonts w:ascii="Palatino Linotype" w:eastAsia="Palatino Linotype" w:hAnsi="Palatino Linotype" w:cs="Palatino Linotype"/>
          <w:b/>
          <w:bCs/>
          <w:color w:val="000000"/>
          <w:sz w:val="20"/>
          <w:szCs w:val="20"/>
        </w:rPr>
        <w:t xml:space="preserve">cognitive </w:t>
      </w:r>
      <w:r>
        <w:rPr>
          <w:rFonts w:ascii="Palatino Linotype" w:eastAsia="Palatino Linotype" w:hAnsi="Palatino Linotype" w:cs="Palatino Linotype"/>
          <w:b/>
          <w:bCs/>
          <w:color w:val="000000"/>
          <w:sz w:val="20"/>
          <w:szCs w:val="20"/>
        </w:rPr>
        <w:t>impairment</w:t>
      </w:r>
      <w:r w:rsidRPr="003431EF">
        <w:rPr>
          <w:rFonts w:ascii="Palatino Linotype" w:eastAsia="Palatino Linotype" w:hAnsi="Palatino Linotype" w:cs="Palatino Linotype"/>
          <w:color w:val="000000"/>
          <w:sz w:val="20"/>
          <w:szCs w:val="20"/>
        </w:rPr>
        <w:t xml:space="preserve"> prior to surgery</w:t>
      </w:r>
      <w:r>
        <w:rPr>
          <w:rFonts w:ascii="Palatino Linotype" w:eastAsia="Palatino Linotype" w:hAnsi="Palatino Linotype" w:cs="Palatino Linotype"/>
          <w:color w:val="000000"/>
          <w:sz w:val="20"/>
          <w:szCs w:val="20"/>
        </w:rPr>
        <w:t>.</w:t>
      </w:r>
    </w:p>
    <w:p w14:paraId="4B2D6F78" w14:textId="77777777" w:rsidR="00AB700A" w:rsidRDefault="00AB700A" w:rsidP="00B263DF">
      <w:pPr>
        <w:pBdr>
          <w:top w:val="nil"/>
          <w:left w:val="nil"/>
          <w:bottom w:val="nil"/>
          <w:right w:val="nil"/>
          <w:between w:val="nil"/>
        </w:pBdr>
        <w:spacing w:line="360" w:lineRule="auto"/>
        <w:ind w:firstLine="360"/>
        <w:jc w:val="both"/>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 xml:space="preserve">In the preoperative model (Tier A), clinical presentation with </w:t>
      </w:r>
      <w:r w:rsidRPr="005F4E7C">
        <w:rPr>
          <w:rFonts w:ascii="Palatino Linotype" w:eastAsia="Palatino Linotype" w:hAnsi="Palatino Linotype" w:cs="Palatino Linotype"/>
          <w:b/>
          <w:bCs/>
          <w:color w:val="000000"/>
          <w:sz w:val="20"/>
          <w:szCs w:val="20"/>
        </w:rPr>
        <w:t>headache</w:t>
      </w:r>
      <w:r>
        <w:rPr>
          <w:rFonts w:ascii="Palatino Linotype" w:eastAsia="Palatino Linotype" w:hAnsi="Palatino Linotype" w:cs="Palatino Linotype"/>
          <w:color w:val="000000"/>
          <w:sz w:val="20"/>
          <w:szCs w:val="20"/>
        </w:rPr>
        <w:t xml:space="preserve"> was the only variable that was important for predicting a new neurological deficit, while </w:t>
      </w:r>
      <w:r w:rsidRPr="0085005F">
        <w:rPr>
          <w:rFonts w:ascii="Palatino Linotype" w:eastAsia="Palatino Linotype" w:hAnsi="Palatino Linotype" w:cs="Palatino Linotype"/>
          <w:b/>
          <w:bCs/>
          <w:color w:val="000000"/>
          <w:sz w:val="20"/>
          <w:szCs w:val="20"/>
        </w:rPr>
        <w:t xml:space="preserve">visual </w:t>
      </w:r>
      <w:r>
        <w:rPr>
          <w:rFonts w:ascii="Palatino Linotype" w:eastAsia="Palatino Linotype" w:hAnsi="Palatino Linotype" w:cs="Palatino Linotype"/>
          <w:b/>
          <w:bCs/>
          <w:color w:val="000000"/>
          <w:sz w:val="20"/>
          <w:szCs w:val="20"/>
        </w:rPr>
        <w:t xml:space="preserve">impairment </w:t>
      </w:r>
      <w:r>
        <w:rPr>
          <w:rFonts w:ascii="Palatino Linotype" w:eastAsia="Palatino Linotype" w:hAnsi="Palatino Linotype" w:cs="Palatino Linotype"/>
          <w:color w:val="000000"/>
          <w:sz w:val="20"/>
          <w:szCs w:val="20"/>
        </w:rPr>
        <w:t xml:space="preserve">was also important for predicting the KPS at discharge. To assess the probability of a complication 30 days after surgery, the presence of </w:t>
      </w:r>
      <w:r w:rsidRPr="00A71F80">
        <w:rPr>
          <w:rFonts w:ascii="Palatino Linotype" w:eastAsia="Palatino Linotype" w:hAnsi="Palatino Linotype" w:cs="Palatino Linotype"/>
          <w:b/>
          <w:bCs/>
          <w:color w:val="000000"/>
          <w:sz w:val="20"/>
          <w:szCs w:val="20"/>
        </w:rPr>
        <w:t>a dural tail</w:t>
      </w:r>
      <w:r>
        <w:rPr>
          <w:rFonts w:ascii="Palatino Linotype" w:eastAsia="Palatino Linotype" w:hAnsi="Palatino Linotype" w:cs="Palatino Linotype"/>
          <w:color w:val="000000"/>
          <w:sz w:val="20"/>
          <w:szCs w:val="20"/>
        </w:rPr>
        <w:t xml:space="preserve"> </w:t>
      </w:r>
      <w:r w:rsidRPr="00E153B2">
        <w:rPr>
          <w:rFonts w:ascii="Palatino Linotype" w:eastAsia="Palatino Linotype" w:hAnsi="Palatino Linotype" w:cs="Palatino Linotype"/>
          <w:color w:val="000000"/>
          <w:sz w:val="20"/>
          <w:szCs w:val="20"/>
        </w:rPr>
        <w:t>also demonstrated measurable importance</w:t>
      </w:r>
      <w:r>
        <w:rPr>
          <w:rFonts w:ascii="Palatino Linotype" w:eastAsia="Palatino Linotype" w:hAnsi="Palatino Linotype" w:cs="Palatino Linotype"/>
          <w:color w:val="000000"/>
          <w:sz w:val="20"/>
          <w:szCs w:val="20"/>
        </w:rPr>
        <w:t xml:space="preserve">. </w:t>
      </w:r>
      <w:r w:rsidRPr="00E153B2">
        <w:rPr>
          <w:rFonts w:ascii="Palatino Linotype" w:eastAsia="Palatino Linotype" w:hAnsi="Palatino Linotype" w:cs="Palatino Linotype"/>
          <w:color w:val="000000"/>
          <w:sz w:val="20"/>
          <w:szCs w:val="20"/>
        </w:rPr>
        <w:t xml:space="preserve">In the Tier B models, </w:t>
      </w:r>
      <w:r>
        <w:rPr>
          <w:rFonts w:ascii="Palatino Linotype" w:eastAsia="Palatino Linotype" w:hAnsi="Palatino Linotype" w:cs="Palatino Linotype"/>
          <w:color w:val="000000"/>
          <w:sz w:val="20"/>
          <w:szCs w:val="20"/>
        </w:rPr>
        <w:t xml:space="preserve">the above-mentioned </w:t>
      </w:r>
      <w:r w:rsidRPr="00E153B2">
        <w:rPr>
          <w:rFonts w:ascii="Palatino Linotype" w:eastAsia="Palatino Linotype" w:hAnsi="Palatino Linotype" w:cs="Palatino Linotype"/>
          <w:color w:val="000000"/>
          <w:sz w:val="20"/>
          <w:szCs w:val="20"/>
        </w:rPr>
        <w:t xml:space="preserve">radiologic </w:t>
      </w:r>
      <w:r>
        <w:rPr>
          <w:rFonts w:ascii="Palatino Linotype" w:eastAsia="Palatino Linotype" w:hAnsi="Palatino Linotype" w:cs="Palatino Linotype"/>
          <w:color w:val="000000"/>
          <w:sz w:val="20"/>
          <w:szCs w:val="20"/>
        </w:rPr>
        <w:t>and clinical variables remained the most consistently ranked features across all outcomes. Additional preoperative variables that</w:t>
      </w:r>
      <w:r w:rsidRPr="00E153B2">
        <w:rPr>
          <w:rFonts w:ascii="Palatino Linotype" w:eastAsia="Palatino Linotype" w:hAnsi="Palatino Linotype" w:cs="Palatino Linotype"/>
          <w:color w:val="000000"/>
          <w:sz w:val="20"/>
          <w:szCs w:val="20"/>
        </w:rPr>
        <w:t xml:space="preserve"> demonstrated measurable importance</w:t>
      </w:r>
      <w:r>
        <w:rPr>
          <w:rFonts w:ascii="Palatino Linotype" w:eastAsia="Palatino Linotype" w:hAnsi="Palatino Linotype" w:cs="Palatino Linotype"/>
          <w:color w:val="000000"/>
          <w:sz w:val="20"/>
          <w:szCs w:val="20"/>
        </w:rPr>
        <w:t xml:space="preserve"> were the presence of </w:t>
      </w:r>
      <w:r w:rsidRPr="00E40D0D">
        <w:rPr>
          <w:rFonts w:ascii="Palatino Linotype" w:eastAsia="Palatino Linotype" w:hAnsi="Palatino Linotype" w:cs="Palatino Linotype"/>
          <w:b/>
          <w:bCs/>
          <w:color w:val="000000"/>
          <w:sz w:val="20"/>
          <w:szCs w:val="20"/>
        </w:rPr>
        <w:t>hyperostosis</w:t>
      </w:r>
      <w:r>
        <w:rPr>
          <w:rFonts w:ascii="Palatino Linotype" w:eastAsia="Palatino Linotype" w:hAnsi="Palatino Linotype" w:cs="Palatino Linotype"/>
          <w:color w:val="000000"/>
          <w:sz w:val="20"/>
          <w:szCs w:val="20"/>
        </w:rPr>
        <w:t xml:space="preserve"> and </w:t>
      </w:r>
      <w:r w:rsidRPr="00AE3D64">
        <w:rPr>
          <w:rFonts w:ascii="Palatino Linotype" w:eastAsia="Palatino Linotype" w:hAnsi="Palatino Linotype" w:cs="Palatino Linotype"/>
          <w:b/>
          <w:bCs/>
          <w:color w:val="000000"/>
          <w:sz w:val="20"/>
          <w:szCs w:val="20"/>
        </w:rPr>
        <w:t>coexistent neoplasms</w:t>
      </w:r>
      <w:r>
        <w:rPr>
          <w:rFonts w:ascii="Palatino Linotype" w:eastAsia="Palatino Linotype" w:hAnsi="Palatino Linotype" w:cs="Palatino Linotype"/>
          <w:color w:val="000000"/>
          <w:sz w:val="20"/>
          <w:szCs w:val="20"/>
        </w:rPr>
        <w:t xml:space="preserve">. </w:t>
      </w:r>
      <w:r w:rsidRPr="00926714">
        <w:rPr>
          <w:rFonts w:ascii="Palatino Linotype" w:eastAsia="Palatino Linotype" w:hAnsi="Palatino Linotype" w:cs="Palatino Linotype"/>
          <w:b/>
          <w:bCs/>
          <w:color w:val="000000"/>
          <w:sz w:val="20"/>
          <w:szCs w:val="20"/>
        </w:rPr>
        <w:t>Complete</w:t>
      </w:r>
      <w:r w:rsidRPr="005D37CA">
        <w:rPr>
          <w:rFonts w:ascii="Palatino Linotype" w:eastAsia="Palatino Linotype" w:hAnsi="Palatino Linotype" w:cs="Palatino Linotype"/>
          <w:b/>
          <w:bCs/>
          <w:color w:val="000000"/>
          <w:sz w:val="20"/>
          <w:szCs w:val="20"/>
        </w:rPr>
        <w:t xml:space="preserve"> resection</w:t>
      </w:r>
      <w:r w:rsidRPr="00BD3678">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000000"/>
          <w:sz w:val="20"/>
          <w:szCs w:val="20"/>
        </w:rPr>
        <w:t xml:space="preserve">ranked first </w:t>
      </w:r>
      <w:r w:rsidRPr="00BD3678">
        <w:rPr>
          <w:rFonts w:ascii="Palatino Linotype" w:eastAsia="Palatino Linotype" w:hAnsi="Palatino Linotype" w:cs="Palatino Linotype"/>
          <w:color w:val="000000"/>
          <w:sz w:val="20"/>
          <w:szCs w:val="20"/>
        </w:rPr>
        <w:t xml:space="preserve">among the top features for both </w:t>
      </w:r>
      <w:r w:rsidRPr="00596ABB">
        <w:rPr>
          <w:rFonts w:ascii="Palatino Linotype" w:eastAsia="Palatino Linotype" w:hAnsi="Palatino Linotype" w:cs="Palatino Linotype"/>
          <w:color w:val="000000"/>
          <w:sz w:val="20"/>
          <w:szCs w:val="20"/>
        </w:rPr>
        <w:t xml:space="preserve">KPS </w:t>
      </w:r>
      <w:r>
        <w:rPr>
          <w:rFonts w:ascii="Palatino Linotype" w:eastAsia="Palatino Linotype" w:hAnsi="Palatino Linotype" w:cs="Palatino Linotype"/>
          <w:color w:val="000000"/>
          <w:sz w:val="20"/>
          <w:szCs w:val="20"/>
        </w:rPr>
        <w:t>worsening</w:t>
      </w:r>
      <w:r w:rsidRPr="00BD3678">
        <w:rPr>
          <w:rFonts w:ascii="Palatino Linotype" w:eastAsia="Palatino Linotype" w:hAnsi="Palatino Linotype" w:cs="Palatino Linotype"/>
          <w:color w:val="000000"/>
          <w:sz w:val="20"/>
          <w:szCs w:val="20"/>
        </w:rPr>
        <w:t xml:space="preserve"> and</w:t>
      </w:r>
      <w:r>
        <w:rPr>
          <w:rFonts w:ascii="Palatino Linotype" w:eastAsia="Palatino Linotype" w:hAnsi="Palatino Linotype" w:cs="Palatino Linotype"/>
          <w:color w:val="000000"/>
          <w:sz w:val="20"/>
          <w:szCs w:val="20"/>
        </w:rPr>
        <w:t xml:space="preserve"> new neurological deficits. </w:t>
      </w:r>
      <w:r w:rsidRPr="00BD3678">
        <w:rPr>
          <w:rFonts w:ascii="Palatino Linotype" w:eastAsia="Palatino Linotype" w:hAnsi="Palatino Linotype" w:cs="Palatino Linotype"/>
          <w:color w:val="000000"/>
          <w:sz w:val="20"/>
          <w:szCs w:val="20"/>
        </w:rPr>
        <w:t xml:space="preserve">Other surgery-related parameters with measurable importance included </w:t>
      </w:r>
      <w:r w:rsidRPr="00F91925">
        <w:rPr>
          <w:rFonts w:ascii="Palatino Linotype" w:eastAsia="Palatino Linotype" w:hAnsi="Palatino Linotype" w:cs="Palatino Linotype"/>
          <w:b/>
          <w:bCs/>
          <w:color w:val="000000"/>
          <w:sz w:val="20"/>
          <w:szCs w:val="20"/>
        </w:rPr>
        <w:t xml:space="preserve">CNs involvement </w:t>
      </w:r>
      <w:r>
        <w:rPr>
          <w:rFonts w:ascii="Palatino Linotype" w:eastAsia="Palatino Linotype" w:hAnsi="Palatino Linotype" w:cs="Palatino Linotype"/>
          <w:color w:val="000000"/>
          <w:sz w:val="20"/>
          <w:szCs w:val="20"/>
        </w:rPr>
        <w:t>and</w:t>
      </w:r>
      <w:r w:rsidRPr="00F91925">
        <w:rPr>
          <w:rFonts w:ascii="Palatino Linotype" w:eastAsia="Palatino Linotype" w:hAnsi="Palatino Linotype" w:cs="Palatino Linotype"/>
          <w:b/>
          <w:bCs/>
          <w:color w:val="000000"/>
          <w:sz w:val="20"/>
          <w:szCs w:val="20"/>
        </w:rPr>
        <w:t xml:space="preserve"> brainstem compression</w:t>
      </w:r>
      <w:r>
        <w:rPr>
          <w:rFonts w:ascii="Palatino Linotype" w:eastAsia="Palatino Linotype" w:hAnsi="Palatino Linotype" w:cs="Palatino Linotype"/>
          <w:color w:val="000000"/>
          <w:sz w:val="20"/>
          <w:szCs w:val="20"/>
        </w:rPr>
        <w:t xml:space="preserve">. </w:t>
      </w:r>
    </w:p>
    <w:p w14:paraId="69D5676C" w14:textId="62B0CC0E" w:rsidR="00AB700A" w:rsidRPr="004950D2" w:rsidRDefault="00AB700A" w:rsidP="004950D2">
      <w:pPr>
        <w:pBdr>
          <w:top w:val="nil"/>
          <w:left w:val="nil"/>
          <w:bottom w:val="nil"/>
          <w:right w:val="nil"/>
          <w:between w:val="nil"/>
        </w:pBdr>
        <w:spacing w:line="360" w:lineRule="auto"/>
        <w:ind w:firstLine="360"/>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Following feature selection, the models were rebuilt using only the most influential predictors identified through permutation importance (mean importance &gt; 0.01, lower 95% CI &gt; 0).</w:t>
      </w:r>
      <w:r w:rsidR="00340CE5">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000000"/>
          <w:sz w:val="20"/>
          <w:szCs w:val="20"/>
        </w:rPr>
        <w:t>Tier A</w:t>
      </w:r>
      <w:r w:rsidRPr="00D244A5">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color w:val="000000"/>
          <w:sz w:val="20"/>
          <w:szCs w:val="20"/>
        </w:rPr>
        <w:t>m</w:t>
      </w:r>
      <w:r w:rsidRPr="00523574">
        <w:rPr>
          <w:rFonts w:ascii="Palatino Linotype" w:eastAsia="Palatino Linotype" w:hAnsi="Palatino Linotype" w:cs="Palatino Linotype"/>
          <w:color w:val="000000"/>
          <w:sz w:val="20"/>
          <w:szCs w:val="20"/>
        </w:rPr>
        <w:t xml:space="preserve">odels predicting </w:t>
      </w:r>
      <w:r>
        <w:rPr>
          <w:rFonts w:ascii="Palatino Linotype" w:eastAsia="Palatino Linotype" w:hAnsi="Palatino Linotype" w:cs="Palatino Linotype"/>
          <w:color w:val="000000"/>
          <w:sz w:val="20"/>
          <w:szCs w:val="20"/>
        </w:rPr>
        <w:t xml:space="preserve">new neurologic deficits, </w:t>
      </w:r>
      <w:r w:rsidRPr="00523574">
        <w:rPr>
          <w:rFonts w:ascii="Palatino Linotype" w:eastAsia="Palatino Linotype" w:hAnsi="Palatino Linotype" w:cs="Palatino Linotype"/>
          <w:color w:val="000000"/>
          <w:sz w:val="20"/>
          <w:szCs w:val="20"/>
        </w:rPr>
        <w:t xml:space="preserve">prolonged LOS, </w:t>
      </w:r>
      <w:r>
        <w:rPr>
          <w:rFonts w:ascii="Palatino Linotype" w:eastAsia="Palatino Linotype" w:hAnsi="Palatino Linotype" w:cs="Palatino Linotype"/>
          <w:color w:val="000000"/>
          <w:sz w:val="20"/>
          <w:szCs w:val="20"/>
        </w:rPr>
        <w:t xml:space="preserve">and </w:t>
      </w:r>
      <w:r w:rsidRPr="006533E7">
        <w:rPr>
          <w:rFonts w:ascii="Palatino Linotype" w:eastAsia="Palatino Linotype" w:hAnsi="Palatino Linotype" w:cs="Palatino Linotype"/>
          <w:color w:val="000000"/>
          <w:sz w:val="20"/>
          <w:szCs w:val="20"/>
        </w:rPr>
        <w:t>decreased KPS</w:t>
      </w:r>
      <w:r>
        <w:rPr>
          <w:rFonts w:ascii="Palatino Linotype" w:eastAsia="Palatino Linotype" w:hAnsi="Palatino Linotype" w:cs="Palatino Linotype"/>
          <w:color w:val="000000"/>
          <w:sz w:val="20"/>
          <w:szCs w:val="20"/>
        </w:rPr>
        <w:t xml:space="preserve"> </w:t>
      </w:r>
      <w:r w:rsidRPr="00523574">
        <w:rPr>
          <w:rFonts w:ascii="Palatino Linotype" w:eastAsia="Palatino Linotype" w:hAnsi="Palatino Linotype" w:cs="Palatino Linotype"/>
          <w:color w:val="000000"/>
          <w:sz w:val="20"/>
          <w:szCs w:val="20"/>
        </w:rPr>
        <w:t>achieved AUROCs of 0.</w:t>
      </w:r>
      <w:r>
        <w:rPr>
          <w:rFonts w:ascii="Palatino Linotype" w:eastAsia="Palatino Linotype" w:hAnsi="Palatino Linotype" w:cs="Palatino Linotype"/>
          <w:color w:val="000000"/>
          <w:sz w:val="20"/>
          <w:szCs w:val="20"/>
        </w:rPr>
        <w:t>67</w:t>
      </w:r>
      <w:r w:rsidRPr="00523574">
        <w:rPr>
          <w:rFonts w:ascii="Palatino Linotype" w:eastAsia="Palatino Linotype" w:hAnsi="Palatino Linotype" w:cs="Palatino Linotype"/>
          <w:color w:val="000000"/>
          <w:sz w:val="20"/>
          <w:szCs w:val="20"/>
        </w:rPr>
        <w:t>, 0.</w:t>
      </w:r>
      <w:r>
        <w:rPr>
          <w:rFonts w:ascii="Palatino Linotype" w:eastAsia="Palatino Linotype" w:hAnsi="Palatino Linotype" w:cs="Palatino Linotype"/>
          <w:color w:val="000000"/>
          <w:sz w:val="20"/>
          <w:szCs w:val="20"/>
        </w:rPr>
        <w:t>93</w:t>
      </w:r>
      <w:r w:rsidRPr="00523574">
        <w:rPr>
          <w:rFonts w:ascii="Palatino Linotype" w:eastAsia="Palatino Linotype" w:hAnsi="Palatino Linotype" w:cs="Palatino Linotype"/>
          <w:color w:val="000000"/>
          <w:sz w:val="20"/>
          <w:szCs w:val="20"/>
        </w:rPr>
        <w:t>, and 0.</w:t>
      </w:r>
      <w:r>
        <w:rPr>
          <w:rFonts w:ascii="Palatino Linotype" w:eastAsia="Palatino Linotype" w:hAnsi="Palatino Linotype" w:cs="Palatino Linotype"/>
          <w:color w:val="000000"/>
          <w:sz w:val="20"/>
          <w:szCs w:val="20"/>
        </w:rPr>
        <w:t>72</w:t>
      </w:r>
      <w:r w:rsidRPr="00523574">
        <w:rPr>
          <w:rFonts w:ascii="Palatino Linotype" w:eastAsia="Palatino Linotype" w:hAnsi="Palatino Linotype" w:cs="Palatino Linotype"/>
          <w:color w:val="000000"/>
          <w:sz w:val="20"/>
          <w:szCs w:val="20"/>
        </w:rPr>
        <w:t xml:space="preserve">, respectively. </w:t>
      </w:r>
      <w:r w:rsidRPr="00D244A5">
        <w:rPr>
          <w:rFonts w:ascii="Palatino Linotype" w:eastAsia="Palatino Linotype" w:hAnsi="Palatino Linotype" w:cs="Palatino Linotype"/>
          <w:color w:val="000000"/>
          <w:sz w:val="20"/>
          <w:szCs w:val="20"/>
        </w:rPr>
        <w:t xml:space="preserve">For Tier B, the corresponding metrics were AUC = </w:t>
      </w:r>
      <w:r w:rsidRPr="00626163">
        <w:rPr>
          <w:rFonts w:ascii="Palatino Linotype" w:eastAsia="Palatino Linotype" w:hAnsi="Palatino Linotype" w:cs="Palatino Linotype"/>
          <w:color w:val="000000"/>
          <w:sz w:val="20"/>
          <w:szCs w:val="20"/>
        </w:rPr>
        <w:t>0.75</w:t>
      </w:r>
      <w:r w:rsidRPr="00D244A5">
        <w:rPr>
          <w:rFonts w:ascii="Palatino Linotype" w:eastAsia="Palatino Linotype" w:hAnsi="Palatino Linotype" w:cs="Palatino Linotype"/>
          <w:color w:val="000000"/>
          <w:sz w:val="20"/>
          <w:szCs w:val="20"/>
        </w:rPr>
        <w:t xml:space="preserve">, </w:t>
      </w:r>
      <w:r w:rsidRPr="00626163">
        <w:rPr>
          <w:rFonts w:ascii="Palatino Linotype" w:eastAsia="Palatino Linotype" w:hAnsi="Palatino Linotype" w:cs="Palatino Linotype"/>
          <w:color w:val="000000"/>
          <w:sz w:val="20"/>
          <w:szCs w:val="20"/>
        </w:rPr>
        <w:t>0.</w:t>
      </w:r>
      <w:r>
        <w:rPr>
          <w:rFonts w:ascii="Palatino Linotype" w:eastAsia="Palatino Linotype" w:hAnsi="Palatino Linotype" w:cs="Palatino Linotype"/>
          <w:color w:val="000000"/>
          <w:sz w:val="20"/>
          <w:szCs w:val="20"/>
        </w:rPr>
        <w:t>93</w:t>
      </w:r>
      <w:r w:rsidRPr="00D244A5">
        <w:rPr>
          <w:rFonts w:ascii="Palatino Linotype" w:eastAsia="Palatino Linotype" w:hAnsi="Palatino Linotype" w:cs="Palatino Linotype"/>
          <w:color w:val="000000"/>
          <w:sz w:val="20"/>
          <w:szCs w:val="20"/>
        </w:rPr>
        <w:t xml:space="preserve">, </w:t>
      </w:r>
      <w:r w:rsidRPr="00626163">
        <w:rPr>
          <w:rFonts w:ascii="Palatino Linotype" w:eastAsia="Palatino Linotype" w:hAnsi="Palatino Linotype" w:cs="Palatino Linotype"/>
          <w:color w:val="000000"/>
          <w:sz w:val="20"/>
          <w:szCs w:val="20"/>
        </w:rPr>
        <w:t>and 0.73</w:t>
      </w:r>
      <w:r w:rsidRPr="00D244A5">
        <w:rPr>
          <w:rFonts w:ascii="Palatino Linotype" w:eastAsia="Palatino Linotype" w:hAnsi="Palatino Linotype" w:cs="Palatino Linotype"/>
          <w:color w:val="000000"/>
          <w:sz w:val="20"/>
          <w:szCs w:val="20"/>
        </w:rPr>
        <w:t xml:space="preserve">, respectively. </w:t>
      </w:r>
      <w:r w:rsidRPr="00306032">
        <w:rPr>
          <w:rFonts w:ascii="Palatino Linotype" w:eastAsia="Palatino Linotype" w:hAnsi="Palatino Linotype" w:cs="Palatino Linotype"/>
          <w:color w:val="000000"/>
          <w:sz w:val="20"/>
          <w:szCs w:val="20"/>
        </w:rPr>
        <w:lastRenderedPageBreak/>
        <w:t>All models demonstrated stable feature rankings across the bootstrap iterations (SD &lt; 0.02), supporting model interpretability and reproducibility</w:t>
      </w:r>
      <w:r>
        <w:rPr>
          <w:rFonts w:ascii="Palatino Linotype" w:eastAsia="Palatino Linotype" w:hAnsi="Palatino Linotype" w:cs="Palatino Linotype"/>
          <w:color w:val="000000"/>
          <w:sz w:val="20"/>
          <w:szCs w:val="20"/>
        </w:rPr>
        <w:t>.</w:t>
      </w:r>
      <w:r w:rsidR="00650876">
        <w:rPr>
          <w:rFonts w:ascii="Palatino Linotype" w:eastAsia="Palatino Linotype" w:hAnsi="Palatino Linotype" w:cs="Palatino Linotype"/>
          <w:color w:val="000000"/>
          <w:sz w:val="20"/>
          <w:szCs w:val="20"/>
        </w:rPr>
        <w:t xml:space="preserve"> </w:t>
      </w:r>
      <w:r w:rsidR="00650876" w:rsidRPr="00B4041F">
        <w:rPr>
          <w:rFonts w:ascii="Palatino Linotype" w:eastAsia="Palatino Linotype" w:hAnsi="Palatino Linotype" w:cs="Palatino Linotype"/>
          <w:color w:val="000000"/>
          <w:sz w:val="20"/>
          <w:szCs w:val="20"/>
        </w:rPr>
        <w:t>(Table</w:t>
      </w:r>
      <w:r w:rsidR="00440657" w:rsidRPr="00B4041F">
        <w:rPr>
          <w:rFonts w:ascii="Palatino Linotype" w:eastAsia="Palatino Linotype" w:hAnsi="Palatino Linotype" w:cs="Palatino Linotype"/>
          <w:color w:val="000000"/>
          <w:sz w:val="20"/>
          <w:szCs w:val="20"/>
        </w:rPr>
        <w:t xml:space="preserve"> </w:t>
      </w:r>
      <w:r w:rsidR="00650876" w:rsidRPr="00B4041F">
        <w:rPr>
          <w:rFonts w:ascii="Palatino Linotype" w:eastAsia="Palatino Linotype" w:hAnsi="Palatino Linotype" w:cs="Palatino Linotype"/>
          <w:color w:val="000000"/>
          <w:sz w:val="20"/>
          <w:szCs w:val="20"/>
        </w:rPr>
        <w:t>4)</w:t>
      </w:r>
      <w:r w:rsidR="003E0D20" w:rsidRPr="00B4041F">
        <w:rPr>
          <w:rFonts w:ascii="Palatino Linotype" w:eastAsia="Palatino Linotype" w:hAnsi="Palatino Linotype" w:cs="Palatino Linotype"/>
          <w:color w:val="000000"/>
          <w:sz w:val="20"/>
          <w:szCs w:val="20"/>
        </w:rPr>
        <w:t>.</w:t>
      </w:r>
    </w:p>
    <w:p w14:paraId="3AED8B27"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b/>
          <w:sz w:val="18"/>
          <w:szCs w:val="18"/>
        </w:rPr>
      </w:pPr>
    </w:p>
    <w:p w14:paraId="460026BE" w14:textId="77777777" w:rsidR="00AB700A" w:rsidRPr="00D244A5" w:rsidRDefault="00AB700A" w:rsidP="00D14746">
      <w:pPr>
        <w:pBdr>
          <w:top w:val="nil"/>
          <w:left w:val="nil"/>
          <w:bottom w:val="nil"/>
          <w:right w:val="nil"/>
          <w:between w:val="nil"/>
        </w:pBdr>
        <w:spacing w:line="360" w:lineRule="auto"/>
        <w:jc w:val="both"/>
        <w:rPr>
          <w:rFonts w:ascii="Palatino Linotype" w:eastAsia="Palatino Linotype" w:hAnsi="Palatino Linotype" w:cs="Palatino Linotype"/>
          <w:color w:val="000000"/>
          <w:sz w:val="18"/>
          <w:szCs w:val="18"/>
        </w:rPr>
      </w:pPr>
      <w:r w:rsidRPr="00D244A5">
        <w:rPr>
          <w:rFonts w:ascii="Palatino Linotype" w:eastAsia="Palatino Linotype" w:hAnsi="Palatino Linotype" w:cs="Palatino Linotype"/>
          <w:color w:val="000000"/>
          <w:sz w:val="18"/>
          <w:szCs w:val="18"/>
        </w:rPr>
        <w:t>Figure 1 Feature importance plots for Tier</w:t>
      </w:r>
      <w:r w:rsidRPr="00D244A5">
        <w:rPr>
          <w:rFonts w:ascii="Palatino Linotype" w:eastAsia="Palatino Linotype" w:hAnsi="Palatino Linotype" w:cs="Palatino Linotype"/>
          <w:b/>
          <w:bCs/>
          <w:color w:val="000000"/>
          <w:sz w:val="18"/>
          <w:szCs w:val="18"/>
        </w:rPr>
        <w:t xml:space="preserve"> </w:t>
      </w:r>
      <w:r w:rsidRPr="00D244A5">
        <w:rPr>
          <w:rFonts w:ascii="Palatino Linotype" w:eastAsia="Palatino Linotype" w:hAnsi="Palatino Linotype" w:cs="Palatino Linotype"/>
          <w:color w:val="000000"/>
          <w:sz w:val="18"/>
          <w:szCs w:val="18"/>
        </w:rPr>
        <w:t>A models predicting (A) new neurologic deficits, (B) Decrease in KPS at dischar</w:t>
      </w:r>
      <w:r>
        <w:rPr>
          <w:rFonts w:ascii="Palatino Linotype" w:eastAsia="Palatino Linotype" w:hAnsi="Palatino Linotype" w:cs="Palatino Linotype"/>
          <w:color w:val="000000"/>
          <w:sz w:val="18"/>
          <w:szCs w:val="18"/>
        </w:rPr>
        <w:t>ge</w:t>
      </w:r>
      <w:r w:rsidRPr="00D244A5">
        <w:rPr>
          <w:rFonts w:ascii="Palatino Linotype" w:eastAsia="Palatino Linotype" w:hAnsi="Palatino Linotype" w:cs="Palatino Linotype"/>
          <w:color w:val="000000"/>
          <w:sz w:val="18"/>
          <w:szCs w:val="18"/>
        </w:rPr>
        <w:t xml:space="preserve">, (C) LOS </w:t>
      </w:r>
      <w:r>
        <w:rPr>
          <w:rFonts w:ascii="Palatino Linotype" w:eastAsia="Palatino Linotype" w:hAnsi="Palatino Linotype" w:cs="Palatino Linotype"/>
          <w:color w:val="000000"/>
          <w:sz w:val="18"/>
          <w:szCs w:val="18"/>
        </w:rPr>
        <w:t>&gt;</w:t>
      </w:r>
      <w:r w:rsidRPr="00D244A5">
        <w:rPr>
          <w:rFonts w:ascii="Palatino Linotype" w:eastAsia="Palatino Linotype" w:hAnsi="Palatino Linotype" w:cs="Palatino Linotype"/>
          <w:color w:val="000000"/>
          <w:sz w:val="18"/>
          <w:szCs w:val="18"/>
        </w:rPr>
        <w:t xml:space="preserve"> 4 da</w:t>
      </w:r>
      <w:r>
        <w:rPr>
          <w:rFonts w:ascii="Palatino Linotype" w:eastAsia="Palatino Linotype" w:hAnsi="Palatino Linotype" w:cs="Palatino Linotype"/>
          <w:color w:val="000000"/>
          <w:sz w:val="18"/>
          <w:szCs w:val="18"/>
        </w:rPr>
        <w:t>ys, and (D</w:t>
      </w:r>
      <w:r w:rsidRPr="00D14746">
        <w:rPr>
          <w:rFonts w:ascii="Palatino Linotype" w:eastAsia="Palatino Linotype" w:hAnsi="Palatino Linotype" w:cs="Palatino Linotype"/>
          <w:color w:val="000000"/>
          <w:sz w:val="18"/>
          <w:szCs w:val="18"/>
        </w:rPr>
        <w:t>) 30-day complicatio</w:t>
      </w:r>
      <w:r w:rsidRPr="00D244A5">
        <w:rPr>
          <w:rFonts w:ascii="Palatino Linotype" w:eastAsia="Palatino Linotype" w:hAnsi="Palatino Linotype" w:cs="Palatino Linotype"/>
          <w:color w:val="000000"/>
          <w:sz w:val="18"/>
          <w:szCs w:val="18"/>
        </w:rPr>
        <w:t>ns. LOS, length of stay</w:t>
      </w:r>
    </w:p>
    <w:p w14:paraId="0EDB1D1F"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18"/>
          <w:szCs w:val="18"/>
        </w:rPr>
      </w:pPr>
    </w:p>
    <w:p w14:paraId="06F8D66D" w14:textId="77777777" w:rsidR="00AB700A" w:rsidRPr="00D244A5" w:rsidRDefault="00AB700A" w:rsidP="00D14746">
      <w:pPr>
        <w:pBdr>
          <w:top w:val="nil"/>
          <w:left w:val="nil"/>
          <w:bottom w:val="nil"/>
          <w:right w:val="nil"/>
          <w:between w:val="nil"/>
        </w:pBdr>
        <w:spacing w:line="360" w:lineRule="auto"/>
        <w:jc w:val="both"/>
        <w:rPr>
          <w:rFonts w:ascii="Palatino Linotype" w:eastAsia="Palatino Linotype" w:hAnsi="Palatino Linotype" w:cs="Palatino Linotype"/>
          <w:color w:val="000000"/>
          <w:sz w:val="18"/>
          <w:szCs w:val="18"/>
        </w:rPr>
      </w:pPr>
      <w:r w:rsidRPr="00D244A5">
        <w:rPr>
          <w:rFonts w:ascii="Palatino Linotype" w:eastAsia="Palatino Linotype" w:hAnsi="Palatino Linotype" w:cs="Palatino Linotype"/>
          <w:color w:val="000000"/>
          <w:sz w:val="18"/>
          <w:szCs w:val="18"/>
        </w:rPr>
        <w:t>Figure 2 Feature importance plots for Tier</w:t>
      </w:r>
      <w:r w:rsidRPr="00D244A5">
        <w:rPr>
          <w:rFonts w:ascii="Palatino Linotype" w:eastAsia="Palatino Linotype" w:hAnsi="Palatino Linotype" w:cs="Palatino Linotype"/>
          <w:b/>
          <w:bCs/>
          <w:color w:val="000000"/>
          <w:sz w:val="18"/>
          <w:szCs w:val="18"/>
        </w:rPr>
        <w:t xml:space="preserve"> </w:t>
      </w:r>
      <w:r w:rsidRPr="00D244A5">
        <w:rPr>
          <w:rFonts w:ascii="Palatino Linotype" w:eastAsia="Palatino Linotype" w:hAnsi="Palatino Linotype" w:cs="Palatino Linotype"/>
          <w:color w:val="000000"/>
          <w:sz w:val="18"/>
          <w:szCs w:val="18"/>
        </w:rPr>
        <w:t>B models predicting (A) new neurologic deficits, (B) Decrease in KPS at dischar</w:t>
      </w:r>
      <w:r>
        <w:rPr>
          <w:rFonts w:ascii="Palatino Linotype" w:eastAsia="Palatino Linotype" w:hAnsi="Palatino Linotype" w:cs="Palatino Linotype"/>
          <w:color w:val="000000"/>
          <w:sz w:val="18"/>
          <w:szCs w:val="18"/>
        </w:rPr>
        <w:t>ge</w:t>
      </w:r>
      <w:r w:rsidRPr="00D244A5">
        <w:rPr>
          <w:rFonts w:ascii="Palatino Linotype" w:eastAsia="Palatino Linotype" w:hAnsi="Palatino Linotype" w:cs="Palatino Linotype"/>
          <w:color w:val="000000"/>
          <w:sz w:val="18"/>
          <w:szCs w:val="18"/>
        </w:rPr>
        <w:t xml:space="preserve">, (C) LOS </w:t>
      </w:r>
      <w:r>
        <w:rPr>
          <w:rFonts w:ascii="Palatino Linotype" w:eastAsia="Palatino Linotype" w:hAnsi="Palatino Linotype" w:cs="Palatino Linotype"/>
          <w:color w:val="000000"/>
          <w:sz w:val="18"/>
          <w:szCs w:val="18"/>
        </w:rPr>
        <w:t>&gt;</w:t>
      </w:r>
      <w:r w:rsidRPr="00D244A5">
        <w:rPr>
          <w:rFonts w:ascii="Palatino Linotype" w:eastAsia="Palatino Linotype" w:hAnsi="Palatino Linotype" w:cs="Palatino Linotype"/>
          <w:color w:val="000000"/>
          <w:sz w:val="18"/>
          <w:szCs w:val="18"/>
        </w:rPr>
        <w:t xml:space="preserve"> 4 da</w:t>
      </w:r>
      <w:r>
        <w:rPr>
          <w:rFonts w:ascii="Palatino Linotype" w:eastAsia="Palatino Linotype" w:hAnsi="Palatino Linotype" w:cs="Palatino Linotype"/>
          <w:color w:val="000000"/>
          <w:sz w:val="18"/>
          <w:szCs w:val="18"/>
        </w:rPr>
        <w:t>ys, and (D</w:t>
      </w:r>
      <w:r w:rsidRPr="00D14746">
        <w:rPr>
          <w:rFonts w:ascii="Palatino Linotype" w:eastAsia="Palatino Linotype" w:hAnsi="Palatino Linotype" w:cs="Palatino Linotype"/>
          <w:color w:val="000000"/>
          <w:sz w:val="18"/>
          <w:szCs w:val="18"/>
        </w:rPr>
        <w:t>) 30-day complicatio</w:t>
      </w:r>
      <w:r w:rsidRPr="00D244A5">
        <w:rPr>
          <w:rFonts w:ascii="Palatino Linotype" w:eastAsia="Palatino Linotype" w:hAnsi="Palatino Linotype" w:cs="Palatino Linotype"/>
          <w:color w:val="000000"/>
          <w:sz w:val="18"/>
          <w:szCs w:val="18"/>
        </w:rPr>
        <w:t>ns. LOS, length of stay</w:t>
      </w:r>
    </w:p>
    <w:p w14:paraId="1346D4DD" w14:textId="77777777" w:rsidR="00AB700A"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18"/>
          <w:szCs w:val="18"/>
        </w:rPr>
      </w:pPr>
    </w:p>
    <w:p w14:paraId="1F60DDC8" w14:textId="77777777" w:rsidR="00AB700A" w:rsidRPr="00D244A5" w:rsidRDefault="00AB700A" w:rsidP="00F055D8">
      <w:pPr>
        <w:pBdr>
          <w:top w:val="nil"/>
          <w:left w:val="nil"/>
          <w:bottom w:val="nil"/>
          <w:right w:val="nil"/>
          <w:between w:val="nil"/>
        </w:pBdr>
        <w:spacing w:before="240" w:after="60" w:line="360" w:lineRule="auto"/>
        <w:jc w:val="both"/>
        <w:rPr>
          <w:rFonts w:ascii="Palatino Linotype" w:eastAsia="Palatino Linotype" w:hAnsi="Palatino Linotype" w:cs="Palatino Linotype"/>
          <w:b/>
          <w:color w:val="000000"/>
        </w:rPr>
      </w:pPr>
      <w:r w:rsidRPr="00D244A5">
        <w:rPr>
          <w:rFonts w:ascii="Palatino Linotype" w:eastAsia="Palatino Linotype" w:hAnsi="Palatino Linotype" w:cs="Palatino Linotype"/>
          <w:b/>
          <w:color w:val="000000"/>
        </w:rPr>
        <w:t>Discussion</w:t>
      </w:r>
    </w:p>
    <w:p w14:paraId="6228FDAC" w14:textId="77777777" w:rsidR="00AB700A" w:rsidRDefault="00AB700A" w:rsidP="003A6E32">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3A6E32">
        <w:rPr>
          <w:rFonts w:ascii="Palatino Linotype" w:eastAsia="Palatino Linotype" w:hAnsi="Palatino Linotype" w:cs="Palatino Linotype"/>
          <w:color w:val="000000"/>
          <w:sz w:val="20"/>
          <w:szCs w:val="20"/>
        </w:rPr>
        <w:t>A comprehensive understanding of risk factors enables clinicians to improve patient counseling, coordinate postoperative care, and address potentially modifiable conditions that may adversely affect the outcomes. In SBM</w:t>
      </w:r>
      <w:r>
        <w:rPr>
          <w:rFonts w:ascii="Palatino Linotype" w:eastAsia="Palatino Linotype" w:hAnsi="Palatino Linotype" w:cs="Palatino Linotype"/>
          <w:color w:val="000000"/>
          <w:sz w:val="20"/>
          <w:szCs w:val="20"/>
        </w:rPr>
        <w:t xml:space="preserve"> </w:t>
      </w:r>
      <w:r w:rsidRPr="003A6E32">
        <w:rPr>
          <w:rFonts w:ascii="Palatino Linotype" w:eastAsia="Palatino Linotype" w:hAnsi="Palatino Linotype" w:cs="Palatino Linotype"/>
          <w:color w:val="000000"/>
          <w:sz w:val="20"/>
          <w:szCs w:val="20"/>
        </w:rPr>
        <w:t>surgery, prognostic assessment has evolved over the last two decades—from descriptive and grading systems to inferential regression models, and more recently, to data-driven, machine-learning (ML)-based approache</w:t>
      </w:r>
      <w:r>
        <w:rPr>
          <w:rFonts w:ascii="Palatino Linotype" w:eastAsia="Palatino Linotype" w:hAnsi="Palatino Linotype" w:cs="Palatino Linotype"/>
          <w:color w:val="000000"/>
          <w:sz w:val="20"/>
          <w:szCs w:val="20"/>
        </w:rPr>
        <w:t xml:space="preserve">s. </w:t>
      </w:r>
    </w:p>
    <w:p w14:paraId="59989C47" w14:textId="77777777" w:rsidR="00AB700A" w:rsidRDefault="00AB700A" w:rsidP="00D87C16">
      <w:pPr>
        <w:pBdr>
          <w:top w:val="nil"/>
          <w:left w:val="nil"/>
          <w:bottom w:val="nil"/>
          <w:right w:val="nil"/>
          <w:between w:val="nil"/>
        </w:pBdr>
        <w:spacing w:line="360" w:lineRule="auto"/>
        <w:ind w:firstLine="360"/>
        <w:jc w:val="both"/>
        <w:rPr>
          <w:rFonts w:ascii="Palatino Linotype" w:eastAsia="Palatino Linotype" w:hAnsi="Palatino Linotype" w:cs="Palatino Linotype"/>
          <w:color w:val="000000"/>
          <w:sz w:val="20"/>
          <w:szCs w:val="20"/>
        </w:rPr>
      </w:pPr>
      <w:r w:rsidRPr="00D87C16">
        <w:rPr>
          <w:rFonts w:ascii="Palatino Linotype" w:eastAsia="Palatino Linotype" w:hAnsi="Palatino Linotype" w:cs="Palatino Linotype"/>
          <w:color w:val="000000"/>
          <w:sz w:val="20"/>
          <w:szCs w:val="20"/>
        </w:rPr>
        <w:t>In the present study, we applied an interpretable ML framework to predict postoperative outcomes following SBM resection. Across all models, older age, larger tumor diameter, and vessel encasement consistently influenced postoperative morbidity, confirming their central roles in defining surgical risk and recovery potential. Additional radiological features, including peritumoral edema, ventricular involvement, cysts, and bone invasion, were strongly associated with unfavorable outcomes. Among systemic factors, obesity and hyperlipidemia emerged as significant risk contributors, while preoperative cognitive and visual impairments and headaches demonstrated predictive value. Notably, headache was the only influential variable in the preoperative model that predicted new neurological deficits</w:t>
      </w:r>
      <w:r>
        <w:rPr>
          <w:rFonts w:ascii="Palatino Linotype" w:eastAsia="Palatino Linotype" w:hAnsi="Palatino Linotype" w:cs="Palatino Linotype"/>
          <w:color w:val="000000"/>
          <w:sz w:val="20"/>
          <w:szCs w:val="20"/>
        </w:rPr>
        <w:t xml:space="preserve">. </w:t>
      </w:r>
    </w:p>
    <w:p w14:paraId="4EB0461B" w14:textId="77777777" w:rsidR="00AB700A" w:rsidRDefault="00AB700A" w:rsidP="0080564F">
      <w:pPr>
        <w:pBdr>
          <w:top w:val="nil"/>
          <w:left w:val="nil"/>
          <w:bottom w:val="nil"/>
          <w:right w:val="nil"/>
          <w:between w:val="nil"/>
        </w:pBdr>
        <w:spacing w:line="360" w:lineRule="auto"/>
        <w:ind w:firstLine="360"/>
        <w:jc w:val="both"/>
        <w:rPr>
          <w:rFonts w:ascii="Palatino Linotype" w:eastAsia="Palatino Linotype" w:hAnsi="Palatino Linotype" w:cs="Palatino Linotype"/>
          <w:color w:val="000000"/>
          <w:sz w:val="20"/>
          <w:szCs w:val="20"/>
        </w:rPr>
      </w:pPr>
      <w:r w:rsidRPr="00AA0933">
        <w:rPr>
          <w:rFonts w:ascii="Palatino Linotype" w:eastAsia="Palatino Linotype" w:hAnsi="Palatino Linotype" w:cs="Palatino Linotype"/>
          <w:color w:val="000000"/>
          <w:sz w:val="20"/>
          <w:szCs w:val="20"/>
        </w:rPr>
        <w:t>The two-tiered modeling strategy, which distinguishes between preoperative (Tier A) and combined pre- and intraoperative (Tier B) predictors, has proven clinically useful. Integrating surgical variables improved the prediction of new neurological deficits (AUC 0.75 vs. 0.67), whereas preoperative variables alone sufficed to predict a prolonged length of stay (AUC 0.93) and functional decline (AUC 0.72). Complete resection ranked highest among the intraoperative predictors of KPS deterioration and neurological deficits, underscoring the delicate balance between oncologic radicality and functional preservation in SBM surgery</w:t>
      </w:r>
      <w:r w:rsidRPr="006F71BB">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t xml:space="preserve"> </w:t>
      </w:r>
    </w:p>
    <w:p w14:paraId="5B7E4C61" w14:textId="77777777" w:rsidR="00AB700A" w:rsidRDefault="00AB700A" w:rsidP="009619CF">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17450586" w14:textId="77777777" w:rsidR="00AB700A" w:rsidRPr="001214A4" w:rsidRDefault="00AB700A" w:rsidP="001214A4">
      <w:pPr>
        <w:pBdr>
          <w:top w:val="nil"/>
          <w:left w:val="nil"/>
          <w:bottom w:val="nil"/>
          <w:right w:val="nil"/>
          <w:between w:val="nil"/>
        </w:pBdr>
        <w:spacing w:line="360" w:lineRule="auto"/>
        <w:jc w:val="both"/>
        <w:rPr>
          <w:rFonts w:ascii="Palatino Linotype" w:eastAsia="Palatino Linotype" w:hAnsi="Palatino Linotype" w:cs="Palatino Linotype"/>
          <w:b/>
          <w:bCs/>
          <w:color w:val="000000"/>
          <w:sz w:val="20"/>
          <w:szCs w:val="20"/>
        </w:rPr>
      </w:pPr>
      <w:r w:rsidRPr="001214A4">
        <w:rPr>
          <w:rFonts w:ascii="Palatino Linotype" w:eastAsia="Palatino Linotype" w:hAnsi="Palatino Linotype" w:cs="Palatino Linotype"/>
          <w:b/>
          <w:bCs/>
          <w:color w:val="000000"/>
          <w:sz w:val="20"/>
          <w:szCs w:val="20"/>
        </w:rPr>
        <w:t>Risk Factors in Meningioma Surgery</w:t>
      </w:r>
    </w:p>
    <w:p w14:paraId="4DF1A8D1" w14:textId="4C44CE84" w:rsidR="00AB700A" w:rsidRDefault="00AB700A" w:rsidP="00A969F2">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80564F">
        <w:rPr>
          <w:rFonts w:ascii="Palatino Linotype" w:eastAsia="Palatino Linotype" w:hAnsi="Palatino Linotype" w:cs="Palatino Linotype"/>
          <w:color w:val="000000"/>
          <w:sz w:val="20"/>
          <w:szCs w:val="20"/>
        </w:rPr>
        <w:lastRenderedPageBreak/>
        <w:t>Factors influencing functional outcomes after SBM resection can be grouped into patient-, tumor-, and surgery-related domains. Patient-related factors included age, ASA score, preoperative KPS, severity of symptoms, and cranial-nerve III, IV, or VI palsy.</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{"citationID":"niSKAycr","properties":{"formattedCitation":"\\super 4,6,14,27\\uc0\\u8211{}33\\nosupersub{}","plainCitation":"4,6,14,27–33","noteIndex":0},"citationItems":[{"id":4906,"uris":["http://zotero.org/users/15552969/items/66WUSK44"],"itemData":{"id":4906,"type":"book","citation-key":"leeMeningiomas2009","DOI":"10.1007/978-1-84628-784-8","ISBN":"978-1-84882-910-7","language":"en","license":"http://www.springer.com/tdm","publisher":"Springer London","publisher-place":"London","source":"DOI.org (Crossref)","title":"Meningiomas","URL":"http://link.springer.com/10.1007/978-1-84628-784-8","editor":[{"family":"Lee","given":"Joung H."}],"accessed":{"date-parts":[["2025",11,13]]},"issued":{"date-parts":[["2009"]]}}},{"id":4830,"uris":["http://zotero.org/users/15552969/items/WQ27EXHE","http://zotero.org/users/15552969/items/28EJATM2"],"itemData":{"id":4830,"type":"article-journal","abstract":"OBJECTIVE Resection of skull base tumors is challenging. The introduction of alternative treatment options, such as radiotherapy, has sparked discussion regarding outcome in terms of quality of life and neuropsychological deficits. So far, however, no prospective data are available on this topic. METHODS A total of 58 patients with skull base meningiomas who underwent surgery for the first time were\nenrolled in this prospective single-center trial. The average age of the patients was 56.4 ± 12.5 years. Seventy-nine percent of the tumors were located within the anterior skull base. Neurological examinations and neuropsychological testing were performed at 3 time points: 1 day prior to surgery (T1), 3-5 months after surgery (T2), and 9-12 months after surgery (T3). The average follow-up duration was 13.8 months. Neuropsychological assessment consisted of quality of life, depression and anxiety, verbal learning and memory, cognitive speed, attention and concentration, figural memory, and visual-motor speed. RESULTS Following surgery, 23% of patients showed transient neurological\ndeficits and 12% showed permanent new neurological deficits with\nvarying grades of manifestation. Postoperative quality of life,\nhowever, remained stable and was slightly improved at follow-up\nexaminations at T3 (60.6 ± 21.5 vs 63.6 ± 24.1 points), and there was no observed effect on anxiety and depression. Long-term verbal memory, working memory, and executive functioning were slightly affected\nwithin the first months following surgery and appeared to be the most vulnerable to impairment by the tumor or the resection but were stable or improved in the majority of patients at long-term follow-up\nexaminations after 1 year. CONCLUSIONS This report describes the first prospective study of neuropsychological outcomes following resection of skull base meningiomas and, as such, contributes to a better\nunderstanding of postoperative impairment in these patients. Despite deterioration in a minority of patients on subscales of the measures used, the majority demonstrated stable or improved outcome at\nfollow-up assessments.","archive":"Crossref","citation-key":"zweckbergerProspectiveAnalysisNeuropsychological2017","container-title":"Journal of Neurosurgery","DOI":"10.3171/2016.10.jns161936","ISSN":"0022-3085","issue":"6","page":"1242-1248","title":"Prospective analysis of neuropsychological deficits following resection of benign skull base meningiomas","volume":"127","author":[{"family":"Zweckberger","given":"Klaus"},{"family":"Hallek","given":"Eveline"},{"family":"Vogt","given":"Lidia"},{"family":"Giese","given":"Henrik"},{"family":"Schick","given":"Uta"},{"family":"Unterberg","given":"Andreas W."}],"issued":{"date-parts":[["2017",12]]}}},{"id":4819,"uris":["http://zotero.org/users/15552969/items/RELYAGRR"],"itemData":{"id":4819,"type":"article-journal","abstract":"OBJECTIVE\n\nTo investigate predictors of complications after intracranial\nmeningioma resection using a standardized reporting system for adverse events.\n\nMETHODS\n\nA retrospective review was conducted in a Scandinavian\npopulation-based cohort of 979 adult operations for intracranial\nmeningioma performed at 3 neurosurgical centers with population-based referral between January 1, 2007, and June 30, 2013. Possible\npredictors of severe complications were identified and analyzed in univariable analyses. Variables with a P value &lt; 0.10 were included in a multivariable model.\n\nRESULTS\n\nSevere complications were observed in 68 (7%) operations. Univariable analyses identified patient age &gt;70 years (P &lt; 0.001), male sex (P = 0.03), Charlson Comorbidity Index &gt;1 (P = 0.02), Simpson grade &gt;3 (P = 0.03), Karnofsky performance scale score &lt;70 (P &lt; 0.001), and duration of surgery &gt;4 hours (P &lt; 0.001) as significant predictors of severe complications. Age &gt;70 (odds ratio = 2.5, P &lt; 0.01), duration of surgery &gt;4 hours (odds ratio = 3.2, P &lt; 0.001), and Karnofsky\nperformance scale score &lt;70 (odds ratio = 2.5, P &lt; 0.01) were\nindependent predictors of severe complications in the multivariable regression analysis.\n\nCONCLUSIONS\n\nSevere complications after meningioma resection are more encountered often in elderly patients (&gt;70 years old), dependent patients\n(Karnofsky performance scale score &lt;70), and patients who underwent longer lasting surgery (&gt;4 hours). Patient selection, including\ncareful consideration of the individual risk-benefit ratio, is\nimportant in improving the safety of intracranial meningioma\nresection.\n\nCopyright © 2015 Elsevier Inc. All rights reserved.","archive":"Crossref","citation-key":"bartekPredictorsSevereComplications2015","container-title":"World Neurosurgery","DOI":"10.1016/j.wneu.2015.01.022","ISSN":"1878-8750","issue":"5","journalAbbreviation":"World Neurosurgery","language":"en","page":"673-678","title":"Predictors of Severe Complications in Intracranial Meningioma Surgery: A Population-Based Multicenter Study","volume":"83","author":[{"family":"Bartek","given":"Jiri","suffix":"Jr."},{"family":"Sjåvik","given":"Kristin"},{"family":"Förander","given":"Petter"},{"family":"Solheim","given":"Ole"},{"family":"Gulati","given":"Sasha"},{"family":"Weber","given":"Clemens"},{"family":"Ingebrigtsen","given":"Tor"},{"family":"Jakola","given":"Asgeir S."}],"issued":{"date-parts":[["2015",5]]}}},{"id":4903,"uris":["http://zotero.org/users/15552969/items/KXS8UE4D"],"itemData":{"id":4903,"type":"article-journal","citation-key":"zengClinicalCharacteristicsPatients2015","container-title":"Neurosurgical Review","DOI":"10.1007/s10143-015-0619-1","ISSN":"0344-5607, 1437-2320","issue":"3","journalAbbreviation":"Neurosurg Rev","language":"en","page":"481-488","source":"DOI.org (Crossref)","title":"Clinical characteristics of patients with asymptomatic intracranial meningiomas and results of their surgical management","volume":"38","author":[{"family":"Zeng","given":"Lingcheng"},{"family":"Wang","given":"Long"},{"family":"Ye","given":"Fei"},{"family":"Chen","given":"Jingcao"},{"family":"Lei","given":"Ting"},{"family":"Chen","given":"Jian"}],"issued":{"date-parts":[["2015",7]]}}},{"id":4902,"uris":["http://zotero.org/users/15552969/items/4YKMZWRN"],"itemData":{"id":4902,"type":"chapter","citation-key":"meixensbergerFactorsInfluencingMorbidity1996","container-title":"Modern Neurosurgery of Meningiomas and Pituitary Adenomas","DOI":"10.1007/978-3-7091-9450-8_27","ISBN":"978-3-7091-9452-2","page":"99-101","publisher":"Springer Vienna","publisher-place":"Vienna","source":"DOI.org (Crossref)","title":"Factors Influencing Morbidity and Mortality After Cranial Meningioma Surgery — a Multivariate Analysis","URL":"http://link.springer.com/10.1007/978-3-7091-9450-8_27","editor":[{"family":"Fahlbusch","given":"Rudolf"},{"family":"Bock","given":"Wolfgang J."},{"family":"Brock","given":"Mario"},{"family":"Buchfelder","given":"Michael"},{"family":"Klinger","given":"Margareta"}],"author":[{"family":"Meixensberger","given":"J."},{"family":"Meister","given":"T."},{"family":"Janka","given":"M."},{"family":"Haubitz","given":"B."},{"family":"Bushe","given":"K. A."},{"family":"Roosen","given":"K."}],"accessed":{"date-parts":[["2025",11,13]]},"issued":{"date-parts":[["1996"]]}}},{"id":4831,"uris":["http://zotero.org/users/15552969/items/AHSPJY8H"],"itemData":{"id":4831,"type":"article-journal","abstract":"BACKGROUND\n\nCraniotomies carry inherent risks of postoperative complications that may have a negative impact on patients' status. Recognizing and\npreventing surgical complications is of paramount importance,\nespecially in meningioma surgery, where most of these tumors are\nbenign and current management protocols are effective in terms of disease control and maintenance of higher quality of life. The\nobjective of this study was to describe the early complications after surgery and their predictive factors in patients undergoing resection of intracranial meningiomas.\n\nMETHODS\n\nA partly retrospective, partly prospective review was conducted in a Norwegian population-based cohort of 1469 consecutive cases of\nmeningioma surgery treated at the university hospitals of Oslo,\ntotaling 11,414 patient-years of follow-up.\n\nRESULTS\n\n2.6% of patients had a postoperative hematoma, 2.7% a postoperative infection, 3.9% a postoperative worsening of neurologic status; 5.4% of patients died during a 30-day period after surgery. Predictive factors of increased risk of postoperative complications were\npatient's age for the hematoma, a non-skull base meningioma for\ninfection, and postoperative hematoma for the risk of neurologic\nworsening or 30-day mortality.\n\nCONCLUSIONS\n\nEarly postoperative complications in meningioma surgery have a\nnegative impact on patient survival and postoperative neurologic\nstatus, in a disease where survival is usually not limited by the meningioma itself. In this study, we identified risk factors for early postoperative complications, the identification of at-risk populations may help to prevent the occurrence of these risk factors.\n\nCopyright © 2019 Elsevier Inc. All rights reserved.","archive":"Crossref","citation-key":"lemeeEarlyPostoperativeComplications2019","container-title":"World Neurosurgery","DOI":"10.1016/j.wneu.2019.05.010","ISSN":"1878-8750","journalAbbreviation":"World Neurosurgery","language":"en","page":"e851-e858","title":"Early Postoperative Complications in Meningioma: Predictive Factors and Impact on Outcome","volume":"128","author":[{"family":"Lemée","given":"Jean-Michel"},{"family":"Corniola","given":"Marco V."},{"family":"Da Broi","given":"Michele"},{"family":"Schaller","given":"Karl"},{"family":"Meling","given":"Torstein R."}],"issued":{"date-parts":[["2019",8]]}}},{"id":4904,"uris":["http://zotero.org/users/15552969/items/6MQTTZ5G"],"itemData":{"id":4904,"type":"article-journal","citation-key":"champeaux-depondNationwidePopulationbasedStudy2021","container-title":"Cancer Epidemiology","DOI":"10.1016/j.canep.2020.101875","ISSN":"18777821","journalAbbreviation":"Cancer Epidemiology","language":"en","page":"101875","source":"DOI.org (Crossref)","title":"A nationwide population-based study on overall survival after meningioma surgery","volume":"70","author":[{"family":"Champeaux-Depond","given":"Charles"},{"family":"Weller","given":"Joconde"},{"family":"Froelich","given":"Sebastien"},{"family":"Resche-Rigon","given":"Matthieu"}],"issued":{"date-parts":[["2021",2]]}}},{"id":3323,"uris":["http://zotero.org/users/15552969/items/CNNCEGQQ","http://zotero.org/users/15552969/items/QNL6BPLF"],"itemData":{"id":3323,"type":"article-journal","abstract":"OBJECTIVE\n\nThis investigation was performed to construct a grading system for cranial base meningiomas that augments the current system of\ntopographic labeling. This new system classifies cranial base\nmeningiomas based on predicted surgical resection and patient\noutcomes.\n\nMETHODS\n\nTwo hundred thirty-two consecutive patients with cranial base\nmeningiomas were surgically treated by the two senior authors between April 1993 and August 1997. Using standard statistical tests, a large number of preoperative, intraoperative, and follow-up findings were analyzed for correlation with the extent of resection. These included the presence of previous radiotherapy, Cranial Nerve III, V, and VI palsies, multiple fossa involvement, and vessel encasement.\n\nRESULTS\n\nAnalysis revealed that each variable tested was independently and inversely correlated with total tumor resection (P &lt; 0.002). We were able to construct a grading system based on these variables; when more variables are present, the grade is higher. With the grading system, lower-grade tumors were correlated with increased probabilities of total resection (r2 = 0.9947) and better patient outcomes, as measured by Karnofsky performance scale scores (r = 0.9291). We also found that, as a group, patients who underwent subtotal resection exhibited worse Karnofsky performance scale scores and had longer hospital\nstays.\n\nCONCLUSION\n\nThe current system of classifying cranial base meningiomas provides no information regarding the tumor except location and no information concerning patient prognosis. We present a more useful system to\ncategorize these tumors. Our scheme must be tested at other centers to corroborate our findings. This new grading system should serve to guide surgical treatment, inform patients, and improve communication among surgeons.","archive":"Crossref","citation-key":"levineProposedGradingSystem1999","container-title":"Neurosurgery","DOI":"10.1097/00006123-199908000-00003","ISSN":"0148-396X","issue":"2","language":"en","page":"221-229","title":"Proposed Grading System to Predict the Extent of Resection and Outcomes for Cranial Base Meningiomas","volume":"45","author":[{"family":"Levine","given":"Zachary T."},{"family":"Buchanan","given":"Russell I."},{"family":"Sekhar","given":"Laligam N."},{"family":"Rosen","given":"Charles L."},{"family":"Wright","given":"Donald C."}],"issued":{"date-parts":[["1999",8]]}}},{"id":4852,"uris":["http://zotero.org/users/15552969/items/PBBI65RB","http://zotero.org/users/15552969/items/IKTJMPDP"],"itemData":{"id":4852,"type":"article-journal","citation-key":"muhlesteinImpactPresurgicalComorbidities2017","container-title":"Surgical Neurology International","DOI":"10.4103/sni.sni_54_17","ISSN":"2152-7806","issue":"1","journalAbbreviation":"Surg Neurol Int","language":"en","page":"220","source":"DOI.org (Crossref)","title":"The impact of presurgical comorbidities on discharge disposition and length of hospitalization following craniotomy for brain tumor","volume":"8","author":[{"family":"Muhlestein","given":"WhitneyE"},{"family":"Akagi","given":"DallinS"},{"family":"Chotai","given":"Silky"},{"family":"Chambless","given":"LolaB"}],"issued":{"date-parts":[["2017"]]}}},{"id":4829,"uris":["http://zotero.org/users/15552969/items/BNUCF9G4"],"itemData":{"id":4829,"type":"article-journal","abstract":"OBJECTIVE Elderly patients are particularly at risk for severe morbidity following surgery. Among the various risk factors, age and skull base location of meningioma are known to be poor prognostic factors in meningioma surgery. The authors conducted this study to analyze significant preoperative risk factors in elderly patients with skull base meningioma. METHODS A total of 265 elderly patients (≥ 65 years old) with meningioma were surgically treated at the authors' institute and affiliated hospitals between 2000 and 2016, and these cases were reviewed. Among them, 57 patients with skull base\nmeningioma were evaluated. Among the various risk factors, the authors analyzed age, sex, Karnofsky Performance Scale (KPS) score, American Society of Anesthesiologists score, and tumor size, location, and pathology. Body mass index (BMI) and serum albumin were investigated as the frailty factors. The authors also reviewed 11 surgical studies of elderly patients ≥ 60 years old with meningioma. RESULTS The mean age was 72.4 ± 5.7 years, and 42 patients were female (73.6%). The mean size of meningioma was 36.6 ± 14.8 mm at the maximum diameter, and the mean follow-up period was 31.1 ± 31.5 months. (The continuous variables are expressed as the mean ± SD.) Histopathological\ninvestigation revealed a higher incidence (71.9%) of WHO Grade I. The rates of deterioration after surgery, at 3 months, and at 1 year were 33.3%, 37.3%, and 39.1%, respectively. Univariate analysis revealed location, preoperative KPS score, BMI level 2, and serum albumin level (p = 0.010, 0.017, 0.0012, and 0.0019, respectively) to be poor\nprognostic factors. Multivariate analysis revealed that location (p = 0.038) and BMI (p = 0.035) were risk factors for KPS score\ndeterioration immediately after surgery. According to the 11 papers reviewed, the median rate (25th-75th percentile) of skull base-related location was 43.5% (39.6-47.75); for asymptomatic status the mean was 24%; and for mortality at 3 months and 1 year the medians were 6.3% (0.7-7.1) and 8% (4.8-9.4), respectively. CONCLUSION Careful\npreoperative assessment based on the frailty concept was essential for better outcome in elderly patients with skull base meningioma. The BMI is appropriate as a quantitative factor for measure of frailty,\nparticularly in elderly individuals with skull base meningioma.\nFurther prospective randomized controlled trials are necessary to validate frailty as a preoperative risk factor. Not only patient\nselection but also surgical timing was an important factor.","archive":"Crossref","citation-key":"kolakshyapatiMultivariateRiskFactor2018","container-title":"Neurosurgical Focus","DOI":"10.3171/2018.1.focus17730","ISSN":"1092-0684","issue":"4","page":"E14","title":"Multivariate risk factor analysis and literature review of postoperative deterioration in Karnofsky Performance Scale score in elderly patients with skull base meningioma","volume":"44","author":[{"family":"Kolakshyapati","given":"Manish"},{"family":"Ikawa","given":"Fusao"},{"family":"Abiko","given":"Masaru"},{"family":"Mitsuhara","given":"Takafumi"},{"family":"Kinoshita","given":"Yasuyuki"},{"family":"Takeda","given":"Masaaki"},{"family":"Kurisu","given":"Kaoru"},{"family":"_","given":"_"}],"issued":{"date-parts":[["2018",4]]}}}],"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sidR="00943DE9" w:rsidRPr="00943DE9">
        <w:rPr>
          <w:rFonts w:ascii="Palatino Linotype" w:hAnsi="Palatino Linotype"/>
          <w:color w:val="000000"/>
          <w:sz w:val="20"/>
          <w:vertAlign w:val="superscript"/>
        </w:rPr>
        <w:t>4,6,14,27–33</w:t>
      </w:r>
      <w:r>
        <w:rPr>
          <w:rFonts w:ascii="Palatino Linotype" w:eastAsia="Palatino Linotype" w:hAnsi="Palatino Linotype" w:cs="Palatino Linotype"/>
          <w:color w:val="000000"/>
          <w:sz w:val="20"/>
          <w:szCs w:val="20"/>
        </w:rPr>
        <w:fldChar w:fldCharType="end"/>
      </w:r>
      <w:r w:rsidRPr="0080564F">
        <w:rPr>
          <w:rFonts w:ascii="Palatino Linotype" w:eastAsia="Palatino Linotype" w:hAnsi="Palatino Linotype" w:cs="Palatino Linotype"/>
          <w:color w:val="000000"/>
          <w:sz w:val="20"/>
          <w:szCs w:val="20"/>
        </w:rPr>
        <w:t xml:space="preserve"> In our series, obesity also emerged as an important predictor, which has rarely been highlighted in previous literature.</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{"citationID":"SBtBxcSy","properties":{"formattedCitation":"\\super 27\\nosupersub{}","plainCitation":"27","noteIndex":0},"citationItems":[{"id":4829,"uris":["http://zotero.org/users/15552969/items/BNUCF9G4"],"itemData":{"id":4829,"type":"article-journal","abstract":"OBJECTIVE Elderly patients are particularly at risk for severe morbidity following surgery. Among the various risk factors, age and skull base location of meningioma are known to be poor prognostic factors in meningioma surgery. The authors conducted this study to analyze significant preoperative risk factors in elderly patients with skull base meningioma. METHODS A total of 265 elderly patients (≥ 65 years old) with meningioma were surgically treated at the authors' institute and affiliated hospitals between 2000 and 2016, and these cases were reviewed. Among them, 57 patients with skull base\nmeningioma were evaluated. Among the various risk factors, the authors analyzed age, sex, Karnofsky Performance Scale (KPS) score, American Society of Anesthesiologists score, and tumor size, location, and pathology. Body mass index (BMI) and serum albumin were investigated as the frailty factors. The authors also reviewed 11 surgical studies of elderly patients ≥ 60 years old with meningioma. RESULTS The mean age was 72.4 ± 5.7 years, and 42 patients were female (73.6%). The mean size of meningioma was 36.6 ± 14.8 mm at the maximum diameter, and the mean follow-up period was 31.1 ± 31.5 months. (The continuous variables are expressed as the mean ± SD.) Histopathological\ninvestigation revealed a higher incidence (71.9%) of WHO Grade I. The rates of deterioration after surgery, at 3 months, and at 1 year were 33.3%, 37.3%, and 39.1%, respectively. Univariate analysis revealed location, preoperative KPS score, BMI level 2, and serum albumin level (p = 0.010, 0.017, 0.0012, and 0.0019, respectively) to be poor\nprognostic factors. Multivariate analysis revealed that location (p = 0.038) and BMI (p = 0.035) were risk factors for KPS score\ndeterioration immediately after surgery. According to the 11 papers reviewed, the median rate (25th-75th percentile) of skull base-related location was 43.5% (39.6-47.75); for asymptomatic status the mean was 24%; and for mortality at 3 months and 1 year the medians were 6.3% (0.7-7.1) and 8% (4.8-9.4), respectively. CONCLUSION Careful\npreoperative assessment based on the frailty concept was essential for better outcome in elderly patients with skull base meningioma. The BMI is appropriate as a quantitative factor for measure of frailty,\nparticularly in elderly individuals with skull base meningioma.\nFurther prospective randomized controlled trials are necessary to validate frailty as a preoperative risk factor. Not only patient\nselection but also surgical timing was an important factor.","archive":"Crossref","citation-key":"kolakshyapatiMultivariateRiskFactor2018","container-title":"Neurosurgical Focus","DOI":"10.3171/2018.1.focus17730","ISSN":"1092-0684","issue":"4","page":"E14","title":"Multivariate risk factor analysis and literature review of postoperative deterioration in Karnofsky Performance Scale score in elderly patients with skull base meningioma","volume":"44","author":[{"family":"Kolakshyapati","given":"Manish"},{"family":"Ikawa","given":"Fusao"},{"family":"Abiko","given":"Masaru"},{"family":"Mitsuhara","given":"Takafumi"},{"family":"Kinoshita","given":"Yasuyuki"},{"family":"Takeda","given":"Masaaki"},{"family":"Kurisu","given":"Kaoru"},{"family":"_","given":"_"}],"issued":{"date-parts":[["2018",4]]}}}],"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sidR="00943DE9" w:rsidRPr="00943DE9">
        <w:rPr>
          <w:rFonts w:ascii="Palatino Linotype" w:hAnsi="Palatino Linotype"/>
          <w:color w:val="000000"/>
          <w:sz w:val="20"/>
          <w:vertAlign w:val="superscript"/>
        </w:rPr>
        <w:t>27</w:t>
      </w:r>
      <w:r>
        <w:rPr>
          <w:rFonts w:ascii="Palatino Linotype" w:eastAsia="Palatino Linotype" w:hAnsi="Palatino Linotype" w:cs="Palatino Linotype"/>
          <w:color w:val="000000"/>
          <w:sz w:val="20"/>
          <w:szCs w:val="20"/>
        </w:rPr>
        <w:fldChar w:fldCharType="end"/>
      </w:r>
      <w:r w:rsidRPr="0080564F">
        <w:rPr>
          <w:rFonts w:ascii="Palatino Linotype" w:eastAsia="Palatino Linotype" w:hAnsi="Palatino Linotype" w:cs="Palatino Linotype"/>
          <w:color w:val="000000"/>
          <w:sz w:val="20"/>
          <w:szCs w:val="20"/>
        </w:rPr>
        <w:t xml:space="preserve"> Tumor-related determinants included size, location, involvement of multiple fossae or the posterior fossa, proximity to eloquent areas, and vessel or cranial-nerve encasement.</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{"citationID":"UEpnsiAw","properties":{"formattedCitation":"\\super 4,7,13,33\\uc0\\u8211{}37\\nosupersub{}","plainCitation":"4,7,13,33–37","noteIndex":0},"citationItems":[{"id":4906,"uris":["http://zotero.org/users/15552969/items/66WUSK44"],"itemData":{"id":4906,"type":"book","citation-key":"leeMeningiomas2009","DOI":"10.1007/978-1-84628-784-8","ISBN":"978-1-84882-910-7","language":"en","license":"http://www.springer.com/tdm","publisher":"Springer London","publisher-place":"London","source":"DOI.org (Crossref)","title":"Meningiomas","URL":"http://link.springer.com/10.1007/978-1-84628-784-8","editor":[{"family":"Lee","given":"Joung H."}],"accessed":{"date-parts":[["2025",11,13]]},"issued":{"date-parts":[["2009"]]}}},{"id":3353,"uris":["http://zotero.org/users/15552969/items/MCVCUUQA"],"itemData":{"id":3353,"type":"article-journal","abstract":"Despite the importance of functional outcome, only a few scoring systems exist to predict neurologic outcome in meningioma surgery. Therefore, our study aims to identify preoperative risk factors and develop the receiver operating characteristics (ROC) models estimating the risk of a new postoperative neurologic deficit and a decrease in Karnofsky performance status (KPS). A multicentric study was conducted in a cohort of 552 consecutive patients with skull base meningiomas who underwent surgical resection from 2014 to 2019. Data were gathered from clinical, surgical, and pathology records as well as radiological diagnostics. The preoperative predictive factors of functional outcome (neurologic deficit, decrease in KPS) were analyzed in univariate and multivariate stepwise selection analyses. Permanent neurologic deficits were present in 73 (13.2%) patients and a postoperative decrease in KPS in 84 (15.2%). Surgery-related mortality was 1.3%. A ROC model was developed to estimate the probability of a new neurologic deficit (area 0.74; SE 0.0284; 95% Wald confidence limits (0.69; 0.80)) based on meningioma location and diameter. Consequently, a ROC model was developed to predict the probability of a postoperative decrease in KPS (area 0.80; SE 0.0289; 95% Wald confidence limits (0.74; 0.85)) based on the patient's age, meningioma location, diameter, presence of hyperostosis, and dural tail. To ensure an evidence-based therapeutic approach, treatment should be founded on known risk factors, scoring systems, and predictive models. We propose ROC models predicting the functional outcome of skull base meningioma resection based on the age of the patient, meningioma size, and location and the presence of hyperostosis and dural tail.","citation-key":"mayRoleRiskFactors2023","container-title":"Neurosurgical Review","DOI":"10.1007/s10143-023-02004-5","ISSN":"1437-2320","issue":"1","journalAbbreviation":"Neurosurg Rev","language":"eng","page":"124","PMID":"37219634","PMCID":"PMC10205827","source":"PubMed","title":"Role of risk factors, scoring systems, and prognostic models in predicting the functional outcome in meningioma surgery: multicentric study of 552 skull base meningiomas","title-short":"Role of risk factors, scoring systems, and prognostic models in predicting the functional outcome in meningioma surgery","volume":"46","author":[{"family":"May","given":"Michaela"},{"family":"Sedlak","given":"Vojtech"},{"family":"Pecen","given":"Ladislav"},{"family":"Priban","given":"Vladimir"},{"family":"Buchvald","given":"Pavel"},{"family":"Fiedler","given":"Jiri"},{"family":"Vaverka","given":"Miroslav"},{"family":"Lipina","given":"Radim"},{"family":"Reguli","given":"Stefan"},{"family":"Malik","given":"Jozef"},{"family":"Netuka","given":"David"},{"family":"Benes","given":"Vladimir"}],"issued":{"date-parts":[["2023",5,23]]}}},{"id":3323,"uris":["http://zotero.org/users/15552969/items/CNNCEGQQ","http://zotero.org/users/15552969/items/QNL6BPLF"],"itemData":{"id":3323,"type":"article-journal","abstract":"OBJECTIVE\n\nThis investigation was performed to construct a grading system for cranial base meningiomas that augments the current system of\ntopographic labeling. This new system classifies cranial base\nmeningiomas based on predicted surgical resection and patient\noutcomes.\n\nMETHODS\n\nTwo hundred thirty-two consecutive patients with cranial base\nmeningiomas were surgically treated by the two senior authors between April 1993 and August 1997. Using standard statistical tests, a large number of preoperative, intraoperative, and follow-up findings were analyzed for correlation with the extent of resection. These included the presence of previous radiotherapy, Cranial Nerve III, V, and VI palsies, multiple fossa involvement, and vessel encasement.\n\nRESULTS\n\nAnalysis revealed that each variable tested was independently and inversely correlated with total tumor resection (P &lt; 0.002). We were able to construct a grading system based on these variables; when more variables are present, the grade is higher. With the grading system, lower-grade tumors were correlated with increased probabilities of total resection (r2 = 0.9947) and better patient outcomes, as measured by Karnofsky performance scale scores (r = 0.9291). We also found that, as a group, patients who underwent subtotal resection exhibited worse Karnofsky performance scale scores and had longer hospital\nstays.\n\nCONCLUSION\n\nThe current system of classifying cranial base meningiomas provides no information regarding the tumor except location and no information concerning patient prognosis. We present a more useful system to\ncategorize these tumors. Our scheme must be tested at other centers to corroborate our findings. This new grading system should serve to guide surgical treatment, inform patients, and improve communication among surgeons.","archive":"Crossref","citation-key":"levineProposedGradingSystem1999","container-title":"Neurosurgery","DOI":"10.1097/00006123-199908000-00003","ISSN":"0148-396X","issue":"2","language":"en","page":"221-229","title":"Proposed Grading System to Predict the Extent of Resection and Outcomes for Cranial Base Meningiomas","volume":"45","author":[{"family":"Levine","given":"Zachary T."},{"family":"Buchanan","given":"Russell I."},{"family":"Sekhar","given":"Laligam N."},{"family":"Rosen","given":"Charles L."},{"family":"Wright","given":"Donald C."}],"issued":{"date-parts":[["1999",8]]}}},{"id":4908,"uris":["http://zotero.org/users/15552969/items/GPYLP2WW"],"itemData":{"id":4908,"type":"article-journal","abstract":"OBJECT\n              The Milan Complexity Scale—a new practical grading scale designed to estimate the risk of neurological clinical worsening after performing surgery for tumor removal—is presented.\n            \n            \n              METHODS\n              A retrospective study was conducted on all elective consecutive surgical procedures for tumor resection between January 2012 and December 2014 at the Second Division of Neurosurgery at Fondazione IRCCS Istituto Neurologico Carlo Besta of Milan. A prospective database dedicated to reporting complications and all clinical and radiological data was retrospectively reviewed. The Karnofsky Performance Scale (KPS) was used to classify each patient’s health status. Complications were divided into major and minor and recorded based on etiology and required treatment. A logistic regression model was used to identify possible predictors of clinical worsening after surgery in terms of changes between the preoperative and discharge KPS scores. Statistically significant predictors were rated based on their odds ratios in order to build an ad hoc complexity scale. For each patient, a corresponding total score was calculated, and ANOVA was performed to compare the mean total scores between the improved/unchanged and worsened patients. Relative risk (RR) and chi-square statistics were employed to provide the risk of worsening after surgery for each total score.\n            \n            \n              RESULTS\n              \n                The case series was composed of 746 patients (53.2% female; mean age 51.3 ± 17.1). The most common tumors were meningiomas (28.6%) and glioblastomas (24.1%). The mortality rate was 0.94%, the major complication rate was 9.1%, and the minor complication rate was 32.6%. Of 746 patients, 523 (70.1%) patients improved or remained unchanged, and 223 (29.9%) patients worsened. The following factors were found to be statistically significant predictors of the change in KPS scores: tumor size larger than 4 cm, cranial nerve manipulation, major brain vessel manipulation, posterior fossa location, and eloquent area involvement (Nagelkerke R\n                2\n                = 0.286). A grading scale was obtained with scores ranging between 0 and 8. Worsened patients showed mean total scores that were significantly higher than the improved/unchanged scores (3.24 ± 1.55 vs 1.47 ± 1.58; p &lt; 0.001). Finally, a grid was developed to show the risk of worsening after surgery for each total score: scores higher than 3 are suggestive of worse clinical outcome.\n              \n            \n            \n              CONCLUSIONS\n              Through the evaluation of the 5 aforementioned parameters—the Big Five—the Milan Complexity Scale enables neurosurgeons to estimate the risk of a negative clinical course after brain tumor surgery and share these data with the patient. Furthermore, the Milan Complexity Scale could be used for research and educational purposes and better health system management.","citation-key":"ferroliPredictingFunctionalImpairment2015","container-title":"Neurosurgical Focus","DOI":"10.3171/2015.9.FOCUS15339","ISSN":"1092-0684","issue":"6","journalAbbreviation":"FOC","page":"E14","source":"DOI.org (Crossref)","title":"Predicting functional impairment in brain tumor surgery: the Big Five and the Milan Complexity Scale","title-short":"Predicting functional impairment in brain tumor surgery","volume":"39","author":[{"family":"Ferroli","given":"Paolo"},{"family":"Broggi","given":"Morgan"},{"family":"Schiavolin","given":"Silvia"},{"family":"Acerbi","given":"Francesco"},{"family":"Bettamio","given":"Valentina"},{"family":"Caldiroli","given":"Dario"},{"family":"Cusin","given":"Alberto"},{"family":"La Corte","given":"Emanuele"},{"family":"Leonardi","given":"Matilde"},{"family":"Raggi","given":"Alberto"},{"family":"Schiariti","given":"Marco"},{"family":"Visintini","given":"Sergio"},{"family":"Franzini","given":"Angelo"},{"family":"Broggi","given":"Giovanni"}],"issued":{"date-parts":[["2015",12]]}}},{"id":4909,"uris":["http://zotero.org/users/15552969/items/NU45FE4S"],"itemData":{"id":4909,"type":"article-journal","abstract":"Object\n              Surgery for skull base meningiomas (SBMs) can lead to complications because these lesions are difficult to approach and can involve cranial nerves and arteries. The authors propose a scoring system to evaluate the relative risks and benefits of surgical treatment of SBMs.\n            \n            \n              Methods\n              The authors used a 2-step process to construct their scale. First, they derived significant predictive variables from retrospective data on 132 SBM cases treated surgically (primary surgeries only) between May 2000 and December 2005. Next, they validated the predictive accuracy of their scoring system in 60 consecutive cases treated surgically between January 1995 and April 2000, including both primary and repeated surgeries. Finally, they investigated the effect of the surgery on the patients' preoperative symptoms for consecutive cases treated surgically between January 1995 and December 2005, including both primary surgeries and retreatments.\n            \n            \n              Results\n              Five items that predicted surgical risk were identified: 1) tumor attachment size; 2) arterial involvement; 3) brainstem contact; 4) central cavity location; and 5) cranial nerve group involvement. The authors named their scoring system the ABC Surgical Risk Scale, after the initial letters of these items. Each factor was assigned a score of 0–2 points, and an additional point was added for previous surgical treatment or for radiation, giving a possible total score of 12 points. On average, the scoring system allocated 2 points for gross-total resections, 6.1 points for near-total resections, and 9 points for subtotal resections, with significant differences between groups. For cases scoring ≥ 8 points, the percentage of cases showing neurological deterioration postoperatively exceeded the percentage showing improvement.\n            \n            \n              Conclusions\n              The authors conclude that this scoring system can be used to predict the extent of tumor removal and that the scores reflect the surgical risk.","citation-key":"adachiABCSurgicalRisk2009","container-title":"Journal of Neurosurgery","DOI":"10.3171/2007.11.17446","ISSN":"0022-3085, 1933-0693","issue":"5","journalAbbreviation":"JNS","page":"1053-1061","source":"DOI.org (Crossref)","title":"ABC Surgical Risk Scale for skull base meningioma: a new scoring system for predicting the extent of tumor removal and neurological outcome: Clinical article","title-short":"ABC Surgical Risk Scale for skull base meningioma","volume":"111","author":[{"family":"Adachi","given":"Kazuhide"},{"family":"Kawase","given":"Takeshi"},{"family":"Yoshida","given":"Kazunari"},{"family":"Yazaki","given":"Takahito"},{"family":"Onozuka","given":"Satoshi"}],"issued":{"date-parts":[["2009",11]]}}},{"id":4893,"uris":["http://zotero.org/users/15552969/items/4RII8S3L","http://zotero.org/users/15552969/items/8LX4NKLM"],"itemData":{"id":4893,"type":"article-journal","abstract":"Abstract\n            \n              Background\n              Neurosurgical resection is the mainstay of meningioma treatment. Adverse event (AE) rates of meningioma resections are significant, but preoperative risk factors for major AEs in patients undergoing first-time meningioma surgery are largely unknown. The aim of this study was to explore major AEs and identify preoperative risk factors in patients undergoing first-time meningioma surgery.\n            \n            \n              Methods\n              Data on all meningioma resections performed at the University Hospital Zurich from 1 January 2013 to 31 December 2018 were collected in a prospective registry. All AEs that occurred within 3 months of surgery were documented in detail and classified as “minor” or “major.” Statistical analysis included initial individual bivariate analyses of all preoperative factors and the occurrence of major AEs. Statistically significant variables were then included in a logistic regression model to identify predictors.\n            \n            \n              Results\n              Three hundred forty-five patients were included in the study. Mean age was 58.1 years, and 77.1% of patients were female. The overall major AE rate was 20.6%; the most common of which was a new focal neurological deficit (12.8% of patients). Six preoperative factors showed a significant association with the occurrence of major AEs in bivariate analysis. All variables included in the logistic regression model showed increased odds of occurrence of major AE, but only tumor complexity as measured by the Milan Complexity Scale was a statistically significant predictor, with a score of 4 or more having twice the odds of major AEs (OR: 2.00, 95% CI: 1.15–3.48).\n            \n            \n              Conclusion\n              High tumor complexity is an independent predictor of the occurrence of major AEs following meningioma resection. Preoperative assessment of tumor complexity using the Milan Complexity Scale is warranted and can aid communication with patients about AE rates and surgical decision-making.","citation-key":"jenkinsPreoperativeRiskFactors2021","container-title":"Acta Neurochirurgica","DOI":"10.1007/s00701-021-04897-x","ISSN":"0001-6268, 0942-0940","issue":"10","journalAbbreviation":"Acta Neurochir","language":"en","page":"2871-2879","source":"DOI.org (Crossref)","title":"Preoperative risk factors associated with new focal neurological deficit and other major adverse events in first-time intracranial meningioma neurosurgery","volume":"163","author":[{"family":"Jenkins","given":"Freya Sophie"},{"family":"Vasella","given":"Flavio"},{"family":"Padevit","given":"Luis"},{"family":"Mutschler","given":"Valentino"},{"family":"Akeret","given":"Kevin"},{"family":"Velz","given":"Julia"},{"family":"Regli","given":"Luca"},{"family":"Sarnthein","given":"Johannes"},{"family":"Neidert","given":"Marian Christoph"}],"issued":{"date-parts":[["2021",10]]}}},{"id":4822,"uris":["http://zotero.org/users/15552969/items/BPXV9XQH"],"itemData":{"id":4822,"type":"article-journal","abstract":"OBJECTIVE\n\nTo study microsurgical technique and prognostic factors influencing clinical outcomes in a series of 53 patients with sphenoid wing\nmeningiomas (SWMs).\n\nMATERIALS AND METHODS\n\nThe clinical materials of 53 patients with sphenoid wing meningiomas treated microsurgically between January 2008 and January 2012 were analyzed retrospectively. Follow-up period ranged from 6 to 62 months (median, 34 months). Clinical outcomes including postoperative quality of life and recurrence rate were evaluated. Univariate and\nmultivariate statistical analysis were performed among factors that might influence postoperative quality of life.\n\nRESULTS\n\nIn our group, the mean age of patients was 49 years. Mean tumor size was 3.9cm. Total tumor resection was achieved in 38 cases (71.7%), subtotal in 10 cases (18.9%) and partial resection in 5 cases (9.4%). Within the follow-up period, ten patients (18.9%) had recurrence and three patients (5.7%) died. In univariate analysis, we found the\npostoperative Karnofshky Performance Score (KPS) improvement was\ndetermined by various factors, including extent of tumor resection, peritumoral edema, tumor blood supply, size, adhesion, encasement and preoperative KPS. However, multivariate analysis showed that complete resection, rich blood supply, adhesion to adjacent structure,\nencasement of neurovascular were independent predictive factors for worse postoperative KPS.\n\nCONCLUSIONS\n\nWith the improved requirement of postoperative quality of life in patients, intentional incomplete resection should be considered as an acceptable treatment option. Multivariate analysis confirmed that incomplete resection, poor blood supply, lack of adhesion or\nencasement of adjacent structure were independent predictive factors for favorable postoperative quality of life. An individual treatment strategy could help improved quality of life.\n\nCopyright © 2015 Elsevier B.V. All rights reserved.","archive":"Crossref","citation-key":"ouyangSphenoidWingMeningiomas2015","container-title":"Clinical Neurology and Neurosurgery","DOI":"10.1016/j.clineuro.2015.04.016","ISSN":"0303-8467","journalAbbreviation":"Clinical Neurology and Neurosurgery","language":"en","page":"85-90","title":"Sphenoid wing meningiomas: Surgical strategies and evaluation of prognostic factors influencing clinical outcomes","volume":"134","author":[{"family":"Ouyang","given":"Taohui"},{"family":"Zhang","given":"Na"},{"family":"Wang","given":"Long"},{"family":"Li","given":"Zheng"},{"family":"Chen","given":"Jian"}],"issued":{"date-parts":[["2015",7]]}}},{"id":3322,"uris":["http://zotero.org/users/15552969/items/6Y6LVGXN"],"itemData":{"id":3322,"type":"article-journal","abstract":"BACKGROUND: Surgical management of meningiomas involving the petroclival junction remains a challenge because of nearby critical neurovascular structures. OBJECTIVE: To describe surgical approach selection, outcomes, and factors associated with postoperative\ncomplications and neurological deficits in a series of patients\nundergoing resection of petroclival region meningiomas. METHODS:\nRetrospective review of patients undergoing symptomatic petroclival region meningioma resection was performed. Logistic regression was performed to identify variables associated with postoperative\ncomplications and new neurological deficits. RESULTS: Sixty-five\npatients underwent 54 one-stage and 11 two-stage resections with\nmedian follow-up of 51 months. Most tumors were World Health\nOrganization grade 1 (90.8%), and the median volume was 23.9 cm3. Posterior petrosectomy and anterior petrosectomy were performed in 67.1% and 6.6% of operations, respectively. The gross or near total resection rate was 15.4%, and 8 patients (12.3%) progressed on\nfollow-up. The surgical complication rate was 26.2% with no\nperioperative mortalities. Postoperatively, 45.8% of patients had new, persistent neurological deficits, with cranial nerves VII palsy being most common. On multivariate analysis, higher body mass index (odds ratio [OR]: 1.1, P = .04) was associated with risk of surgical\ncomplications. Longer operative time (OR: 1.4, P = .004) and staged procedures (OR: 4.9, P = .04) were associated with risk of new\nneurological deficit on follow-up, likely reflecting more challenging tumors. Comparing early vs later career surgeries performed by the senior author, rates of severe complications and neurological deficits decreased 23.1% and 22.3%, respectively. CONCLUSION: Petroclival\nregion meningiomas remain surgically challenging, but improved\noutcomes are seen with surgeon experience. These data help inform patients on perioperative morbidity risk and provide a guide for\nsurgical approach selection.","archive":"Crossref","citation-key":"nguyenPostoperativeComplicationsNeurological2023","container-title":"Operative Neurosurgery","DOI":"10.1227/ons.0000000000000791","ISSN":"2332-4252","issue":"3","language":"en","page":"251-259","title":"Postoperative Complications and Neurological Deficits After Petroclival Region Meningioma Resection: A Case Series","volume":"25","author":[{"family":"Nguyen","given":"Minh P."},{"family":"Morshed","given":"Ramin A."},{"family":"Cheung","given":"Steven W."},{"family":"Theodosopoulos","given":"Philip V."},{"family":"McDermott","given":"Michael W."}],"issued":{"date-parts":[["2023",6,22]]}}}],"schema":"https://github.com/citation-style-language/schema/raw/master/csl-citation.json"}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sidR="00943DE9" w:rsidRPr="00943DE9">
        <w:rPr>
          <w:rFonts w:ascii="Palatino Linotype" w:hAnsi="Palatino Linotype"/>
          <w:color w:val="000000"/>
          <w:sz w:val="20"/>
          <w:vertAlign w:val="superscript"/>
        </w:rPr>
        <w:t>4,7,13,33–37</w:t>
      </w:r>
      <w:r>
        <w:rPr>
          <w:rFonts w:ascii="Palatino Linotype" w:eastAsia="Palatino Linotype" w:hAnsi="Palatino Linotype" w:cs="Palatino Linotype"/>
          <w:color w:val="000000"/>
          <w:sz w:val="20"/>
          <w:szCs w:val="20"/>
        </w:rPr>
        <w:fldChar w:fldCharType="end"/>
      </w:r>
      <w:r w:rsidRPr="0080564F">
        <w:rPr>
          <w:rFonts w:ascii="Palatino Linotype" w:eastAsia="Palatino Linotype" w:hAnsi="Palatino Linotype" w:cs="Palatino Linotype"/>
          <w:color w:val="000000"/>
          <w:sz w:val="20"/>
          <w:szCs w:val="20"/>
        </w:rPr>
        <w:t xml:space="preserve"> Surgery-related factors comprised the extent of resection, operative time, and surgeon experience.</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{"citationID":"dNhOdkVC","properties":{"formattedCitation":"\\super 6,15,21,33,38,39\\nosupersub{}","plainCitation":"6,15,21,33,38,39","noteIndex":0},"citationItems":[{"id":3349,"uris":["http://zotero.org/users/15552969/items/JT8659A2"],"itemData":{"id":3349,"type":"article-journal","abstract":"Objective  While predictive analytic techniques have been used to analyze meningioma postoperative outcomes, to our knowledge, there have been no studies that have investigated the utility of machine learning (ML) models in prognosticating outcomes among skull base meningioma patients. The present study aimed to develop models for predicting postoperative outcomes among skull base meningioma patients, specifically prolonged hospital length of stay (LOS), nonroutine discharge disposition, and high hospital charges. We also validated the predictive performance of our models on out-of-sample testing data. Methods  Patients who underwent skull base meningioma surgery between 2016 and 2019 at an academic institution were included in our study. Prolonged hospital LOS and high hospital charges were defined as &gt;4 days and &gt;$47,887, respectively. Elastic net logistic regression algorithms were trained to predict postoperative outcomes using 70% of available data, and their predictive performance was evaluated on the remaining 30%. Results  A total of 265 patients were included in our final analysis. Our cohort was majority female (77.7%) and Caucasian (63.4%). Elastic net logistic regression algorithms predicting prolonged LOS, nonroutine discharge, and high hospital charges achieved areas under the receiver operating characteristic curve of 0.798, 0.752, and 0.592, respectively. Further, all models were adequately calibrated as determined by the Spiegelhalter Z -test ( p &gt;0.05). Conclusion  Our study developed models predicting prolonged hospital LOS, nonroutine discharge disposition, and high hospital charges among skull base meningioma patients. Our models highlight the utility of ML as a tool to aid skull base surgeons in providing high-value health care and optimizing clinical workflows.","citation-key":"jimenezMachineLearningModels2022","container-title":"Journal of Neurological Surgery. Part B, Skull Base","DOI":"10.1055/a-1885-1447","ISSN":"2193-6331","issue":"6","journalAbbreviation":"J Neurol Surg B Skull Base","language":"eng","page":"635-645","PMID":"36393884","PMCID":"PMC9653296","source":"PubMed","title":"Machine Learning Models for Predicting Postoperative Outcomes following Skull Base Meningioma Surgery","volume":"83","author":[{"family":"Jimenez","given":"Adrian E."},{"family":"Porras","given":"Jose L."},{"family":"Azad","given":"Tej D."},{"family":"Shah","given":"Pavan P."},{"family":"Jackson","given":"Christopher M."},{"family":"Gallia","given":"Gary"},{"family":"Bettegowda","given":"Chetan"},{"family":"Weingart","given":"Jon"},{"family":"Mukherjee","given":"Debraj"}],"issued":{"date-parts":[["2022",12]]}}},{"id":4831,"uris":["http://zotero.org/users/15552969/items/AHSPJY8H"],"itemData":{"id":4831,"type":"article-journal","abstract":"BACKGROUND\n\nCraniotomies carry inherent risks of postoperative complications that may have a negative impact on patients' status. Recognizing and\npreventing surgical complications is of paramount importance,\nespecially in meningioma surgery, where most of these tumors are\nbenign and current management protocols are effective in terms of disease control and maintenance of higher quality of life. The\nobjective of this study was to describe the early complications after surgery and their predictive factors in patients undergoing resection of intracranial meningiomas.\n\nMETHODS\n\nA partly retrospective, partly prospective review was conducted in a Norwegian population-based cohort of 1469 consecutive cases of\nmeningioma surgery treated at the university hospitals of Oslo,\ntotaling 11,414 patient-years of follow-up.\n\nRESULTS\n\n2.6% of patients had a postoperative hematoma, 2.7% a postoperative infection, 3.9% a postoperative worsening of neurologic status; 5.4% of patients died during a 30-day period after surgery. Predictive factors of increased risk of postoperative complications were\npatient's age for the hematoma, a non-skull base meningioma for\ninfection, and postoperative hematoma for the risk of neurologic\nworsening or 30-day mortality.\n\nCONCLUSIONS\n\nEarly postoperative complications in meningioma surgery have a\nnegative impact on patient survival and postoperative neurologic\nstatus, in a disease where survival is usually not limited by the meningioma itself. In this study, we identified risk factors for early postoperative complications, the identification of at-risk populations may help to prevent the occurrence of these risk factors.\n\nCopyright © 2019 Elsevier Inc. All rights reserved.","archive":"Crossref","citation-key":"lemeeEarlyPostoperativeComplications2019","container-title":"World Neurosurgery","DOI":"10.1016/j.wneu.2019.05.010","ISSN":"1878-8750","journalAbbreviation":"World Neurosurgery","language":"en","page":"e851-e858","title":"Early Postoperative Complications in Meningioma: Predictive Factors and Impact on Outcome","volume":"128","author":[{"family":"Lemée","given":"Jean-Michel"},{"family":"Corniola","given":"Marco V."},{"family":"Da Broi","given":"Michele"},{"family":"Schaller","given":"Karl"},{"family":"Meling","given":"Torstein R."}],"issued":{"date-parts":[["2019",8]]}}},{"id":4798,"uris":["http://zotero.org/users/15552969/items/LHBZX8QB"],"itemData":{"id":4798,"type":"article-journal","abstract":"The objective of this study was to examine the prognostic significance of health-related quality of life (HQOL) parameters combined with baseline clinical factors in patients undergoing neurosurgery for treatment of meningioma. A total of 147 patients (61 male, 86 female; mean age 43 years, range 5-77 years) who underwent resection of a meningioma between January 2002 and December 2004 were studied. HQOL was evaluated using a modified questionnaire based on the World Health Organization Quality of Life-100 Scale and the Karnofsky Performance Scale. The relationships between HQOL and clinical history,\nradiological findings, extent of resection, histological grade and recurrence were investigated using multivariate analysis. The mean HQOL score was 73.94+/-1.79 for preoperative patients with meningioma, 84.88+/-2.14 for postoperative patients, and 91.13+/-1.61 for healthy controls. HQOL for patients with meningioma was significantly lower than that for normal controls (P&lt;0.001), and postoperative patients had a more satisfactory HQOL than preoperative (P&lt;0.05). Cox\nproportional hazards analysis showed that significant predictors of health-related quality of life were tumor size, extent of surgical excision, and histologic grade. Multivariate backward logistic\nregression yielded the regression equation HQOL=119.1097 - 1.5002X(3) - 8.6650X(6) - 10.4210X(7) (R=0.7466; where X(3) is tumor size, X(6) is extent of surgical excision, and X(7) is the histologic grade of the tumor). This equation can be used preoperatively to predict the HQOL of meningioma patients after neurosurgery. A specialized HQOL questionnaire for patients with meningioma provides useful information when planning the operative procedure, and may make it more likely that patients have a satisfactory HQOL after surgery.\n\n(c) 2009 Elsevier Ltd. All rights reserved.","archive":"Crossref","citation-key":"miaoMultivariateAnalysisPrognostic2010","container-title":"Journal of Clinical Neuroscience","DOI":"10.1016/j.jocn.2009.07.111","ISSN":"0967-5868","issue":"4","journalAbbreviation":"Journal of Clinical Neuroscience","language":"en","page":"446-449","title":"A multivariate analysis of prognostic factors for health-related quality of life in patients with surgically managed meningioma","volume":"17","author":[{"family":"Miao","given":"Yifeng"},{"family":"Lu","given":"Xiaojie"},{"family":"Qiu","given":"Yongming"},{"family":"Jiang","given":"Jiyao"},{"family":"Lin","given":"Yuchang"}],"issued":{"date-parts":[["2010",4]]}}},{"id":4799,"uris":["http://zotero.org/users/15552969/items/9FEXQ245"],"itemData":{"id":4799,"type":"article-journal","abstract":"Microsurgical resection is the primary treatment of skull base meningiomas. Maximal resection provides the best tumor control rates but can be associated with high surgical morbidity. To understand the relation between extent of resection (EOR) and functional outcome we have analyzed the neurological improvement and recurrence rate in a large consecutive series of skull base meningioma patients. In\naddition, we defined anatomical and biological factors predictive for recurrence and overall outcome. We investigated 226 skull base\nmeningioma patients receiving tumor resection in our institution. The most frequent location was the medial sphenoid ridge (29.6 %). EOR was rated according to the Simpson scale. Overall performance was measured by the Karnofsky performance score (KPS); neurological deficits were quantified using the Medical Research Council Neurological Severity Score (MRC-NPS). Complete resection was achieved in 62.8 % and the EOR was significantly correlated to tumor location. The morbidity and mortality rate was 32.1 and 2.7 % respectively, new permanent\nneurological deficits occurred in 3.5 % of all patients. From all patients with focal neurological deficits, 60.1 % experienced\nsignificant improvement. Both the MRC-NPS and the KPS significantly improved from the preoperative status to discharge, however the\nimprovement rate was dependent on the tumor location. Recurrence rate was 15.5 %; tumor size, bone- and venous sinus infiltration, WHO\ngrade, poor EOR but not MIB-1 labeling index were independent factors predictive for recurrence. Microsurgical resection of skull base\nmeningiomas improves neurological impairment in the majority of\npatients. Specific risk factors for recurrence require consideration for postoperative management.","archive":"Crossref","citation-key":"scheitzachSkullBaseMeningiomas2013","container-title":"Journal of Neuro-Oncology","DOI":"10.1007/s11060-013-1309-x","ISSN":"0167-594X","issue":"2","journalAbbreviation":"J Neurooncol","language":"en","page":"381-386","title":"Skull base meningiomas: neurological outcome after microsurgical resection","volume":"116","author":[{"family":"Scheitzach","given":"Judith"},{"family":"Schebesch","given":"Karl-Michael"},{"family":"Brawanski","given":"Alexander"},{"family":"Proescholdt","given":"Martin A."}],"issued":{"date-parts":[["2013",11,21]]}}},{"id":3323,"uris":["http://zotero.org/users/15552969/items/CNNCEGQQ","http://zotero.org/users/15552969/items/QNL6BPLF"],"itemData":{"id":3323,"type":"article-journal","abstract":"OBJECTIVE\n\nThis investigation was performed to construct a grading system for cranial base meningiomas that augments the current system of\ntopographic labeling. This new system classifies cranial base\nmeningiomas based on predicted surgical resection and patient\noutcomes.\n\nMETHODS\n\nTwo hundred thirty-two consecutive patients with cranial base\nmeningiomas were surgically treated by the two senior authors between April 1993 and August 1997. Using standard statistical tests, a large number of preoperative, intraoperative, and follow-up findings were analyzed for correlation with the extent of resection. These included the presence of previous radiotherapy, Cranial Nerve III, V, and VI palsies, multiple fossa involvement, and vessel encasement.\n\nRESULTS\n\nAnalysis revealed that each variable tested was independently and inversely correlated with total tumor resection (P &lt; 0.002). We were able to construct a grading system based on these variables; when more variables are present, the grade is higher. With the grading system, lower-grade tumors were correlated with increased probabilities of total resection (r2 = 0.9947) and better patient outcomes, as measured by Karnofsky performance scale scores (r = 0.9291). We also found that, as a group, patients who underwent subtotal resection exhibited worse Karnofsky performance scale scores and had longer hospital\nstays.\n\nCONCLUSION\n\nThe current system of classifying cranial base meningiomas provides no information regarding the tumor except location and no information concerning patient prognosis. We present a more useful system to\ncategorize these tumors. Our scheme must be tested at other centers to corroborate our findings. This new grading system should serve to guide surgical treatment, inform patients, and improve communication among surgeons.","archive":"Crossref","citation-key":"levineProposedGradingSystem1999","container-title":"Neurosurgery","DOI":"10.1097/00006123-199908000-00003","ISSN":"0148-396X","issue":"2","language":"en","page":"221-229","title":"Proposed Grading System to Predict the Extent of Resection and Outcomes for Cranial Base Meningiomas","volume":"45","author":[{"family":"Levine","given":"Zachary T."},{"family":"Buchanan","given":"Russell I."},{"family":"Sekhar","given":"Laligam N."},{"family":"Rosen","given":"Charles L."},{"family":"Wright","given":"Donald C."}],"issued":{"date-parts":[["1999",8]]}}},{"id":4824,"uris":["http://zotero.org/users/15552969/items/472DR7HZ"],"itemData":{"id":4824,"type":"article-journal","abstract":"Abstract Meningiomas present as intracranial extra-axial lesions with dural attachment, which are primarily managed surgically. The extent of resection (EOR) may vary depending on patient- and tumor-related factors. The aim of this study is to identify preoperative predictive factors of EOR and to propose an estimation of the predicted gross total resection (GTR) based of patient- and tumor-characteristics. 1469 patients from a retrospectively (1990 to 2002) and prospectively managed (2003 to 2010) databank of Oslo University Hospital, Norway, totalling 11,414 patient-years of follow-up were included. Patients had a mean age at surgery of 64 ± 20.1 years with a female-to-male ratio was 2.4:1 and a mean KPS of 81.2 ± 12.1. Skull-base meningiomas represented 47% of all cases. WHO grades were I in 92.3%, II in 5.2%, and III in 2.2%. Bone infiltration was described in 18.7% of cases. 39.3% of patients had Simpson I resection, 34.3% had Simpson II, 5.4% had Simpson III, 20.6% had Simpson IV, and 0.5% had Simpson V. The risk factors for incomplete resection were: symptomatic presentation (OR 0.56 [0.43–0.72]), skull-base location (OR 0.79 [0.70–0.88]), and bone invasion (OR 0.85 [0.73–0.99]). Using a recursive partitioning analysis, we propose a classification-tree for the prediction of GTR rate based on preoperatively determinable patient- and tumor\ncharacteristics. The identification of preoperative predictors of poor GTR rate may aid clinicians managing meningioma patients. In selected cases were the predicted GTR rate is low, staged treatment with\nsurgical debulking followed by adjuvant therapy may be favored in order to minimize postoperative morbidity and mortality.","archive":"Crossref","citation-key":"lemeeExtentResectionMeningioma2019","container-title":"Scientific Reports","DOI":"10.1038/s41598-019-42451-z","ISSN":"2045-2322","issue":"1","journalAbbreviation":"Sci Rep","language":"en","title":"Extent of Resection in Meningioma: Predictive Factors and Clinical Implications","URL":"http://dx.doi.org/10.1038/s41598-019-42451-z","volume":"9","author":[{"family":"Lemée","given":"Jean-Michel"},{"family":"Corniola","given":"Marco V."},{"family":"Da Broi","given":"Michele"},{"family":"Joswig","given":"Holger"},{"family":"Scheie","given":"David"},{"family":"Schaller","given":"Karl"},{"family":"Helseth","given":"Eirik"},{"family":"Meling","given":"Torstein R."}],"issued":{"date-parts":[["2019",4,11]]}}}],"schema":"https://github.com/citation-style-language/schema/raw/master/csl-citation.json"}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sidR="00943DE9" w:rsidRPr="00943DE9">
        <w:rPr>
          <w:rFonts w:ascii="Palatino Linotype" w:hAnsi="Palatino Linotype"/>
          <w:color w:val="000000"/>
          <w:sz w:val="20"/>
          <w:vertAlign w:val="superscript"/>
        </w:rPr>
        <w:t>6,15,21,33,38,39</w:t>
      </w:r>
      <w:r>
        <w:rPr>
          <w:rFonts w:ascii="Palatino Linotype" w:eastAsia="Palatino Linotype" w:hAnsi="Palatino Linotype" w:cs="Palatino Linotype"/>
          <w:color w:val="000000"/>
          <w:sz w:val="20"/>
          <w:szCs w:val="20"/>
        </w:rPr>
        <w:fldChar w:fldCharType="end"/>
      </w:r>
      <w:r w:rsidRPr="0080564F">
        <w:rPr>
          <w:rFonts w:ascii="Palatino Linotype" w:eastAsia="Palatino Linotype" w:hAnsi="Palatino Linotype" w:cs="Palatino Linotype"/>
          <w:color w:val="000000"/>
          <w:sz w:val="20"/>
          <w:szCs w:val="20"/>
        </w:rPr>
        <w:t xml:space="preserve"> Consistent with these findings, complete resection in our models ranked among the strongest intraoperative predictors of postoperative deficits.</w:t>
      </w:r>
    </w:p>
    <w:p w14:paraId="4AE62A2C" w14:textId="5BD2418C" w:rsidR="00AB700A" w:rsidRPr="00024DE6" w:rsidRDefault="00AB700A" w:rsidP="00024DE6">
      <w:pPr>
        <w:pBdr>
          <w:top w:val="nil"/>
          <w:left w:val="nil"/>
          <w:bottom w:val="nil"/>
          <w:right w:val="nil"/>
          <w:between w:val="nil"/>
        </w:pBdr>
        <w:spacing w:line="360" w:lineRule="auto"/>
        <w:ind w:firstLine="360"/>
        <w:jc w:val="both"/>
        <w:rPr>
          <w:rFonts w:ascii="Palatino Linotype" w:eastAsia="Palatino Linotype" w:hAnsi="Palatino Linotype" w:cs="Palatino Linotype"/>
          <w:color w:val="000000"/>
          <w:sz w:val="20"/>
          <w:szCs w:val="20"/>
        </w:rPr>
      </w:pPr>
      <w:r w:rsidRPr="00024DE6">
        <w:rPr>
          <w:rFonts w:ascii="Palatino Linotype" w:eastAsia="Palatino Linotype" w:hAnsi="Palatino Linotype" w:cs="Palatino Linotype"/>
          <w:color w:val="000000"/>
          <w:sz w:val="20"/>
          <w:szCs w:val="20"/>
        </w:rPr>
        <w:t>Traditional risk models often overlook the interactions between these domains. As discussed by Sankar et al. (2015), models that fail to incorporate comorbidity and physiological reserve may underestimate reversible preoperative risks.</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{"citationID":"Pb0WAq76","properties":{"formattedCitation":"\\super 40\\nosupersub{}","plainCitation":"40","noteIndex":0},"citationItems":[{"id":4915,"uris":["http://zotero.org/users/15552969/items/GLXMWUDG"],"itemData":{"id":4915,"type":"article-journal","citation-key":"sankarHowCanWe2015","container-title":"Current Opinion in Critical Care","DOI":"10.1097/MCC.0000000000000216","ISSN":"1070-5295","issue":"4","journalAbbreviation":"Current Opinion in Critical Care","language":"en","page":"328-335","source":"DOI.org (Crossref)","title":"How can we identify the high-risk patient?:","title-short":"How can we identify the high-risk patient?","volume":"21","author":[{"family":"Sankar","given":"Ashwin"},{"family":"Beattie","given":"W. Scott"},{"family":"Wijeysundera","given":"Duminda N."}],"issued":{"date-parts":[["2015",8]]}}}],"schema":"https://github.com/citation-style-language/schema/raw/master/csl-citation.json"}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sidR="00943DE9" w:rsidRPr="00943DE9">
        <w:rPr>
          <w:rFonts w:ascii="Palatino Linotype" w:hAnsi="Palatino Linotype"/>
          <w:color w:val="000000"/>
          <w:sz w:val="20"/>
          <w:vertAlign w:val="superscript"/>
        </w:rPr>
        <w:t>40</w:t>
      </w:r>
      <w:r>
        <w:rPr>
          <w:rFonts w:ascii="Palatino Linotype" w:eastAsia="Palatino Linotype" w:hAnsi="Palatino Linotype" w:cs="Palatino Linotype"/>
          <w:color w:val="000000"/>
          <w:sz w:val="20"/>
          <w:szCs w:val="20"/>
        </w:rPr>
        <w:fldChar w:fldCharType="end"/>
      </w:r>
      <w:r w:rsidRPr="00024DE6">
        <w:rPr>
          <w:rFonts w:ascii="Palatino Linotype" w:eastAsia="Palatino Linotype" w:hAnsi="Palatino Linotype" w:cs="Palatino Linotype"/>
          <w:color w:val="000000"/>
          <w:sz w:val="20"/>
          <w:szCs w:val="20"/>
        </w:rPr>
        <w:t xml:space="preserve"> Our ML approach overcomes this limitation by integrating clinical, radiological, and intraoperative variables, capturing the nonlinear relationships that characterize surgical complexity in SBMs.</w:t>
      </w:r>
    </w:p>
    <w:p w14:paraId="7AECC86D" w14:textId="77777777" w:rsidR="00AB700A" w:rsidRPr="00F055D8" w:rsidRDefault="00AB700A" w:rsidP="00BB6C47">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68D1F3C2" w14:textId="77777777" w:rsidR="00AB700A" w:rsidRPr="002A4B42" w:rsidRDefault="00AB700A" w:rsidP="00FE0515">
      <w:pPr>
        <w:pBdr>
          <w:top w:val="nil"/>
          <w:left w:val="nil"/>
          <w:bottom w:val="nil"/>
          <w:right w:val="nil"/>
          <w:between w:val="nil"/>
        </w:pBdr>
        <w:spacing w:line="360" w:lineRule="auto"/>
        <w:rPr>
          <w:rFonts w:ascii="Palatino Linotype" w:eastAsia="Palatino Linotype" w:hAnsi="Palatino Linotype" w:cs="Palatino Linotype"/>
          <w:b/>
          <w:bCs/>
          <w:color w:val="000000"/>
          <w:sz w:val="20"/>
          <w:szCs w:val="20"/>
        </w:rPr>
      </w:pPr>
      <w:r w:rsidRPr="00C21A6A">
        <w:rPr>
          <w:rFonts w:ascii="Palatino Linotype" w:eastAsia="Palatino Linotype" w:hAnsi="Palatino Linotype" w:cs="Palatino Linotype"/>
          <w:b/>
          <w:bCs/>
          <w:color w:val="000000"/>
          <w:sz w:val="20"/>
          <w:szCs w:val="20"/>
        </w:rPr>
        <w:t>Prior Research Using ML Models for SBMs</w:t>
      </w:r>
    </w:p>
    <w:p w14:paraId="5981448C" w14:textId="23AB529B" w:rsidR="00AB700A" w:rsidRDefault="00AB700A" w:rsidP="0039247C">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532870">
        <w:rPr>
          <w:rFonts w:ascii="Palatino Linotype" w:eastAsia="Palatino Linotype" w:hAnsi="Palatino Linotype" w:cs="Palatino Linotype"/>
          <w:color w:val="000000"/>
          <w:sz w:val="20"/>
          <w:szCs w:val="20"/>
        </w:rPr>
        <w:t>Previous studies have demonstrated the feasibility of using ML to predict postoperative outcomes in skull-base meningiomas. Jimenez et al. (2022) applied elastic-net logistic regression to 265 patients and achieved AUCs of 0.798 for prolonged LOS and 0.752 for non-routine discharge, identifying age, ASA score, tumor volume, and insurance status as key predictors.</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{"citationID":"DrZguaR3","properties":{"formattedCitation":"\\super 21\\nosupersub{}","plainCitation":"21","noteIndex":0},"citationItems":[{"id":3349,"uris":["http://zotero.org/users/15552969/items/JT8659A2"],"itemData":{"id":3349,"type":"article-journal","abstract":"Objective  While predictive analytic techniques have been used to analyze meningioma postoperative outcomes, to our knowledge, there have been no studies that have investigated the utility of machine learning (ML) models in prognosticating outcomes among skull base meningioma patients. The present study aimed to develop models for predicting postoperative outcomes among skull base meningioma patients, specifically prolonged hospital length of stay (LOS), nonroutine discharge disposition, and high hospital charges. We also validated the predictive performance of our models on out-of-sample testing data. Methods  Patients who underwent skull base meningioma surgery between 2016 and 2019 at an academic institution were included in our study. Prolonged hospital LOS and high hospital charges were defined as &gt;4 days and &gt;$47,887, respectively. Elastic net logistic regression algorithms were trained to predict postoperative outcomes using 70% of available data, and their predictive performance was evaluated on the remaining 30%. Results  A total of 265 patients were included in our final analysis. Our cohort was majority female (77.7%) and Caucasian (63.4%). Elastic net logistic regression algorithms predicting prolonged LOS, nonroutine discharge, and high hospital charges achieved areas under the receiver operating characteristic curve of 0.798, 0.752, and 0.592, respectively. Further, all models were adequately calibrated as determined by the Spiegelhalter Z -test ( p &gt;0.05). Conclusion  Our study developed models predicting prolonged hospital LOS, nonroutine discharge disposition, and high hospital charges among skull base meningioma patients. Our models highlight the utility of ML as a tool to aid skull base surgeons in providing high-value health care and optimizing clinical workflows.","citation-key":"jimenezMachineLearningModels2022","container-title":"Journal of Neurological Surgery. Part B, Skull Base","DOI":"10.1055/a-1885-1447","ISSN":"2193-6331","issue":"6","journalAbbreviation":"J Neurol Surg B Skull Base","language":"eng","page":"635-645","PMID":"36393884","PMCID":"PMC9653296","source":"PubMed","title":"Machine Learning Models for Predicting Postoperative Outcomes following Skull Base Meningioma Surgery","volume":"83","author":[{"family":"Jimenez","given":"Adrian E."},{"family":"Porras","given":"Jose L."},{"family":"Azad","given":"Tej D."},{"family":"Shah","given":"Pavan P."},{"family":"Jackson","given":"Christopher M."},{"family":"Gallia","given":"Gary"},{"family":"Bettegowda","given":"Chetan"},{"family":"Weingart","given":"Jon"},{"family":"Mukherjee","given":"Debraj"}],"issued":{"date-parts":[["2022",12]]}}}],"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sidR="0047428E" w:rsidRPr="0047428E">
        <w:rPr>
          <w:rFonts w:ascii="Palatino Linotype" w:hAnsi="Palatino Linotype"/>
          <w:color w:val="000000"/>
          <w:sz w:val="20"/>
          <w:vertAlign w:val="superscript"/>
        </w:rPr>
        <w:t>21</w:t>
      </w:r>
      <w:r>
        <w:rPr>
          <w:rFonts w:ascii="Palatino Linotype" w:eastAsia="Palatino Linotype" w:hAnsi="Palatino Linotype" w:cs="Palatino Linotype"/>
          <w:color w:val="000000"/>
          <w:sz w:val="20"/>
          <w:szCs w:val="20"/>
        </w:rPr>
        <w:fldChar w:fldCharType="end"/>
      </w:r>
      <w:r>
        <w:rPr>
          <w:rFonts w:ascii="Palatino Linotype" w:eastAsia="Palatino Linotype" w:hAnsi="Palatino Linotype" w:cs="Palatino Linotype"/>
          <w:color w:val="000000"/>
          <w:sz w:val="20"/>
          <w:szCs w:val="20"/>
        </w:rPr>
        <w:t xml:space="preserve"> </w:t>
      </w:r>
      <w:r w:rsidRPr="00B51B05">
        <w:rPr>
          <w:rFonts w:ascii="Palatino Linotype" w:eastAsia="Palatino Linotype" w:hAnsi="Palatino Linotype" w:cs="Palatino Linotype"/>
          <w:color w:val="000000"/>
          <w:sz w:val="20"/>
          <w:szCs w:val="20"/>
        </w:rPr>
        <w:t xml:space="preserve">Similarly, </w:t>
      </w:r>
      <w:r w:rsidRPr="0039247C">
        <w:rPr>
          <w:rFonts w:ascii="Palatino Linotype" w:eastAsia="Palatino Linotype" w:hAnsi="Palatino Linotype" w:cs="Palatino Linotype"/>
          <w:color w:val="000000"/>
          <w:sz w:val="20"/>
          <w:szCs w:val="20"/>
        </w:rPr>
        <w:t>Muhlestein et al. (2017) developed ensemble ML models in a nationwide brain-tumor cohort, obtaining AUROCs of 0.824 for LOS &gt; 7 days and 0.796 for discharge disposition, with paralysis and electrolyte abnormalities as dominant predictors</w:t>
      </w:r>
      <w:r w:rsidRPr="004C696A">
        <w:rPr>
          <w:rFonts w:ascii="Palatino Linotype" w:eastAsia="Palatino Linotype" w:hAnsi="Palatino Linotype" w:cs="Palatino Linotype"/>
          <w:color w:val="000000"/>
          <w:sz w:val="20"/>
          <w:szCs w:val="20"/>
        </w:rPr>
        <w:t>.</w:t>
      </w:r>
      <w:r>
        <w:rPr>
          <w:rFonts w:ascii="Palatino Linotype" w:eastAsia="Palatino Linotype" w:hAnsi="Palatino Linotype" w:cs="Palatino Linotype"/>
          <w:color w:val="000000"/>
          <w:sz w:val="20"/>
          <w:szCs w:val="20"/>
        </w:rPr>
        <w:fldChar w:fldCharType="begin"/>
      </w:r>
      <w:r w:rsidR="00943DE9">
        <w:rPr>
          <w:rFonts w:ascii="Palatino Linotype" w:eastAsia="Palatino Linotype" w:hAnsi="Palatino Linotype" w:cs="Palatino Linotype"/>
          <w:color w:val="000000"/>
          <w:sz w:val="20"/>
          <w:szCs w:val="20"/>
        </w:rPr>
        <w:instrText xml:space="preserve"> ADDIN ZOTERO_ITEM CSL_CITATION {"citationID":"pKQ2uaIn","properties":{"formattedCitation":"\\super 14\\nosupersub{}","plainCitation":"14","noteIndex":0},"citationItems":[{"id":4852,"uris":["http://zotero.org/users/15552969/items/PBBI65RB","http://zotero.org/users/15552969/items/IKTJMPDP"],"itemData":{"id":4852,"type":"article-journal","citation-key":"muhlesteinImpactPresurgicalComorbidities2017","container-title":"Surgical Neurology International","DOI":"10.4103/sni.sni_54_17","ISSN":"2152-7806","issue":"1","journalAbbreviation":"Surg Neurol Int","language":"en","page":"220","source":"DOI.org (Crossref)","title":"The impact of presurgical comorbidities on discharge disposition and length of hospitalization following craniotomy for brain tumor","volume":"8","author":[{"family":"Muhlestein","given":"WhitneyE"},{"family":"Akagi","given":"DallinS"},{"family":"Chotai","given":"Silky"},{"family":"Chambless","given":"LolaB"}],"issued":{"date-parts":[["2017"]]}}}],"schema":"https://github.com/citation-style-language/schema/raw/master/csl-citation.json"} </w:instrText>
      </w:r>
      <w:r>
        <w:rPr>
          <w:rFonts w:ascii="Palatino Linotype" w:eastAsia="Palatino Linotype" w:hAnsi="Palatino Linotype" w:cs="Palatino Linotype"/>
          <w:color w:val="000000"/>
          <w:sz w:val="20"/>
          <w:szCs w:val="20"/>
        </w:rPr>
        <w:fldChar w:fldCharType="separate"/>
      </w:r>
      <w:r w:rsidR="0047428E" w:rsidRPr="0047428E">
        <w:rPr>
          <w:rFonts w:ascii="Palatino Linotype" w:hAnsi="Palatino Linotype"/>
          <w:color w:val="000000"/>
          <w:sz w:val="20"/>
          <w:vertAlign w:val="superscript"/>
        </w:rPr>
        <w:t>14</w:t>
      </w:r>
      <w:r>
        <w:rPr>
          <w:rFonts w:ascii="Palatino Linotype" w:eastAsia="Palatino Linotype" w:hAnsi="Palatino Linotype" w:cs="Palatino Linotype"/>
          <w:color w:val="000000"/>
          <w:sz w:val="20"/>
          <w:szCs w:val="20"/>
        </w:rPr>
        <w:fldChar w:fldCharType="end"/>
      </w:r>
    </w:p>
    <w:p w14:paraId="4F2F9E5A" w14:textId="77777777" w:rsidR="00AB700A" w:rsidRPr="00D244A5" w:rsidRDefault="00AB700A" w:rsidP="005964AA">
      <w:pPr>
        <w:pBdr>
          <w:top w:val="nil"/>
          <w:left w:val="nil"/>
          <w:bottom w:val="nil"/>
          <w:right w:val="nil"/>
          <w:between w:val="nil"/>
        </w:pBdr>
        <w:spacing w:line="360" w:lineRule="auto"/>
        <w:ind w:firstLine="360"/>
        <w:jc w:val="both"/>
        <w:rPr>
          <w:rFonts w:ascii="Palatino Linotype" w:eastAsia="Palatino Linotype" w:hAnsi="Palatino Linotype" w:cs="Palatino Linotype"/>
          <w:color w:val="000000"/>
          <w:sz w:val="20"/>
          <w:szCs w:val="20"/>
        </w:rPr>
      </w:pPr>
      <w:r w:rsidRPr="005964AA">
        <w:rPr>
          <w:rFonts w:ascii="Palatino Linotype" w:eastAsia="Palatino Linotype" w:hAnsi="Palatino Linotype" w:cs="Palatino Linotype"/>
          <w:color w:val="000000"/>
          <w:sz w:val="20"/>
          <w:szCs w:val="20"/>
        </w:rPr>
        <w:t>Our study extends these findings by incorporating a broader clinical and radiological profile, detailed intraoperative features, and multiple postoperative endpoints, including 30-day complications. The present models achieved superior discrimination for LOS (AUC 0.93 vs. 0.79) while maintaining interpretability through permutation importance. This framework supports individualized quantitative risk estimation to inform surgical strategy, patient counseling, and postoperative resource allocation. Prospective multicenter validation and integration of molecular and radiomic data will further enhance predictive precision and facilitate clinical implementation</w:t>
      </w:r>
      <w:r>
        <w:rPr>
          <w:rFonts w:ascii="Palatino Linotype" w:eastAsia="Palatino Linotype" w:hAnsi="Palatino Linotype" w:cs="Palatino Linotype"/>
          <w:color w:val="000000"/>
          <w:sz w:val="20"/>
          <w:szCs w:val="20"/>
        </w:rPr>
        <w:t>.</w:t>
      </w:r>
    </w:p>
    <w:p w14:paraId="70DAC752"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141D92D2" w14:textId="77777777" w:rsidR="00AB700A" w:rsidRPr="00D244A5" w:rsidRDefault="00AB700A" w:rsidP="00F055D8">
      <w:pPr>
        <w:pBdr>
          <w:top w:val="nil"/>
          <w:left w:val="nil"/>
          <w:bottom w:val="nil"/>
          <w:right w:val="nil"/>
          <w:between w:val="nil"/>
        </w:pBdr>
        <w:spacing w:before="240" w:after="60" w:line="360" w:lineRule="auto"/>
        <w:jc w:val="both"/>
        <w:rPr>
          <w:rFonts w:ascii="Palatino Linotype" w:eastAsia="Palatino Linotype" w:hAnsi="Palatino Linotype" w:cs="Palatino Linotype"/>
          <w:b/>
          <w:color w:val="000000"/>
        </w:rPr>
      </w:pPr>
      <w:r w:rsidRPr="00D244A5">
        <w:rPr>
          <w:rFonts w:ascii="Palatino Linotype" w:eastAsia="Palatino Linotype" w:hAnsi="Palatino Linotype" w:cs="Palatino Linotype"/>
          <w:b/>
          <w:color w:val="000000"/>
        </w:rPr>
        <w:t>Limitations</w:t>
      </w:r>
    </w:p>
    <w:p w14:paraId="4D9649B2"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lastRenderedPageBreak/>
        <w:t>The present study had several limitations that should be acknowledged when interpreting our results. First, its retrospective</w:t>
      </w:r>
      <w:r>
        <w:rPr>
          <w:rFonts w:ascii="Palatino Linotype" w:eastAsia="Palatino Linotype" w:hAnsi="Palatino Linotype" w:cs="Palatino Linotype"/>
          <w:color w:val="000000"/>
          <w:sz w:val="20"/>
          <w:szCs w:val="20"/>
        </w:rPr>
        <w:t xml:space="preserve"> </w:t>
      </w:r>
      <w:r w:rsidRPr="00D244A5">
        <w:rPr>
          <w:rFonts w:ascii="Palatino Linotype" w:eastAsia="Palatino Linotype" w:hAnsi="Palatino Linotype" w:cs="Palatino Linotype"/>
          <w:color w:val="000000"/>
          <w:sz w:val="20"/>
          <w:szCs w:val="20"/>
        </w:rPr>
        <w:t>design introduced potential biases in patient selection, data completeness, and postoperative follow-up periods. Although data harmonization and standardized variable definitions minimized interinstitutional discrepancies, residual heterogeneity in imaging acquisition, operative techniques, and postoperative management may have influenced the model’s performance.</w:t>
      </w:r>
    </w:p>
    <w:p w14:paraId="19960F7A" w14:textId="77777777" w:rsidR="00AB700A" w:rsidRPr="00D244A5" w:rsidRDefault="00AB700A" w:rsidP="00F055D8">
      <w:pPr>
        <w:pBdr>
          <w:top w:val="nil"/>
          <w:left w:val="nil"/>
          <w:bottom w:val="nil"/>
          <w:right w:val="nil"/>
          <w:between w:val="nil"/>
        </w:pBdr>
        <w:spacing w:line="360" w:lineRule="auto"/>
        <w:ind w:firstLine="288"/>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Second, the relatively modest number of patients with high-grade complications constrained model complexity and limited its external generalizability. Although nested cross-validation and independent test-set evaluation were designed to reduce overfitting, external validation in prospective multicenter cohorts is necessary to confirm reproducibility across healthcare systems.</w:t>
      </w:r>
    </w:p>
    <w:p w14:paraId="2CDC7EAF" w14:textId="77777777" w:rsidR="00AB700A" w:rsidRPr="00D244A5" w:rsidRDefault="00AB700A" w:rsidP="00F055D8">
      <w:pPr>
        <w:pBdr>
          <w:top w:val="nil"/>
          <w:left w:val="nil"/>
          <w:bottom w:val="nil"/>
          <w:right w:val="nil"/>
          <w:between w:val="nil"/>
        </w:pBdr>
        <w:spacing w:line="360" w:lineRule="auto"/>
        <w:ind w:firstLine="288"/>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color w:val="000000"/>
          <w:sz w:val="20"/>
          <w:szCs w:val="20"/>
        </w:rPr>
        <w:t xml:space="preserve">Finally, although the </w:t>
      </w:r>
      <w:r w:rsidRPr="00EF23AA">
        <w:rPr>
          <w:rFonts w:ascii="Palatino Linotype" w:eastAsia="Palatino Linotype" w:hAnsi="Palatino Linotype" w:cs="Palatino Linotype"/>
          <w:color w:val="000000"/>
          <w:sz w:val="20"/>
          <w:szCs w:val="20"/>
        </w:rPr>
        <w:t xml:space="preserve">HGBR </w:t>
      </w:r>
      <w:r w:rsidRPr="00D244A5">
        <w:rPr>
          <w:rFonts w:ascii="Palatino Linotype" w:eastAsia="Palatino Linotype" w:hAnsi="Palatino Linotype" w:cs="Palatino Linotype"/>
          <w:color w:val="000000"/>
          <w:sz w:val="20"/>
          <w:szCs w:val="20"/>
        </w:rPr>
        <w:t>algorithm is interpretable compared with other machine learning architectures, it still represents a supervised model trained on historical data; its predictive hierarchy reflects associations rather than causality and must, therefore, be interpreted as a clinical decision-support tool rather than a replacement for expert judgment.</w:t>
      </w:r>
    </w:p>
    <w:p w14:paraId="21F4BE5E" w14:textId="77777777" w:rsidR="00AB700A" w:rsidRPr="00D244A5" w:rsidRDefault="00AB700A" w:rsidP="00F055D8">
      <w:pPr>
        <w:pBdr>
          <w:top w:val="nil"/>
          <w:left w:val="nil"/>
          <w:bottom w:val="nil"/>
          <w:right w:val="nil"/>
          <w:between w:val="nil"/>
        </w:pBdr>
        <w:spacing w:line="360" w:lineRule="auto"/>
        <w:ind w:firstLine="288"/>
        <w:jc w:val="both"/>
        <w:rPr>
          <w:rFonts w:ascii="Palatino Linotype" w:eastAsia="Palatino Linotype" w:hAnsi="Palatino Linotype" w:cs="Palatino Linotype"/>
          <w:color w:val="000000"/>
          <w:sz w:val="20"/>
          <w:szCs w:val="20"/>
        </w:rPr>
      </w:pPr>
    </w:p>
    <w:p w14:paraId="4537D7DE"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b/>
          <w:bCs/>
          <w:color w:val="000000"/>
        </w:rPr>
      </w:pPr>
      <w:r w:rsidRPr="00D244A5">
        <w:rPr>
          <w:rFonts w:ascii="Palatino Linotype" w:eastAsia="Palatino Linotype" w:hAnsi="Palatino Linotype" w:cs="Palatino Linotype"/>
          <w:b/>
          <w:bCs/>
          <w:color w:val="000000"/>
        </w:rPr>
        <w:t>Conclusions</w:t>
      </w:r>
    </w:p>
    <w:p w14:paraId="0A613093" w14:textId="77777777" w:rsidR="00AB700A" w:rsidRPr="00D244A5" w:rsidRDefault="00AB700A" w:rsidP="00A82B96">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A82B96">
        <w:rPr>
          <w:rFonts w:ascii="Palatino Linotype" w:eastAsia="Palatino Linotype" w:hAnsi="Palatino Linotype" w:cs="Palatino Linotype"/>
          <w:color w:val="000000"/>
          <w:sz w:val="20"/>
          <w:szCs w:val="20"/>
        </w:rPr>
        <w:t>Interpretable machine-learning models provide a transparent, data-driven method for predicting postoperative morbidity, functional decline, and 30-day complications after skull-base meningioma surgery. By integrating clinical, radiological, and intraoperative features, these models offer individualized risk estimates that can enhance surgical planning, optimize patient counseling, and inform postoperative care strategies in the future. Future multicenter validation is essential to refine precision-risk modeling and facilitate its translation into clinical neurosurgical practice</w:t>
      </w:r>
      <w:r w:rsidRPr="00D244A5">
        <w:rPr>
          <w:rFonts w:ascii="Palatino Linotype" w:eastAsia="Palatino Linotype" w:hAnsi="Palatino Linotype" w:cs="Palatino Linotype"/>
          <w:color w:val="000000"/>
          <w:sz w:val="20"/>
          <w:szCs w:val="20"/>
        </w:rPr>
        <w:t>.</w:t>
      </w:r>
    </w:p>
    <w:p w14:paraId="4D913179" w14:textId="77777777" w:rsidR="00AB700A" w:rsidRPr="00D244A5" w:rsidRDefault="00AB700A" w:rsidP="00F055D8">
      <w:pPr>
        <w:pBdr>
          <w:top w:val="nil"/>
          <w:left w:val="nil"/>
          <w:bottom w:val="nil"/>
          <w:right w:val="nil"/>
          <w:between w:val="nil"/>
        </w:pBdr>
        <w:spacing w:line="360" w:lineRule="auto"/>
        <w:ind w:firstLine="288"/>
        <w:jc w:val="both"/>
        <w:rPr>
          <w:rFonts w:ascii="Palatino Linotype" w:eastAsia="Palatino Linotype" w:hAnsi="Palatino Linotype" w:cs="Palatino Linotype"/>
          <w:color w:val="000000"/>
          <w:sz w:val="20"/>
          <w:szCs w:val="20"/>
        </w:rPr>
      </w:pPr>
    </w:p>
    <w:p w14:paraId="313C92B0" w14:textId="77777777" w:rsidR="00DC249A" w:rsidRPr="009A6F9B" w:rsidRDefault="00DC249A" w:rsidP="00DC249A">
      <w:pPr>
        <w:pStyle w:val="MDPI21heading1"/>
        <w:spacing w:line="360" w:lineRule="auto"/>
        <w:ind w:left="0" w:firstLine="0"/>
      </w:pPr>
      <w:r w:rsidRPr="009A6F9B">
        <w:t>Acknowledgments</w:t>
      </w:r>
    </w:p>
    <w:p w14:paraId="190FD6D6" w14:textId="77777777" w:rsidR="00A41A74" w:rsidRDefault="00DC249A" w:rsidP="00A41A74">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A41A74">
        <w:rPr>
          <w:rFonts w:ascii="Palatino Linotype" w:eastAsia="Palatino Linotype" w:hAnsi="Palatino Linotype" w:cs="Palatino Linotype"/>
          <w:color w:val="000000"/>
          <w:sz w:val="20"/>
          <w:szCs w:val="20"/>
        </w:rPr>
        <w:t>The authors wish to express their deepest gratitude to Gal Ziv for his exceptional contribution to this study. Mr. Ziv conceived, developed, and implemented the machine learning algorithm that underpinned the core analytical framework of this work. His technical expertise, creativity, and unwavering commitment were pivotal to the study's success. This manuscript would not have been possible without his outstanding efforts and insight.</w:t>
      </w:r>
    </w:p>
    <w:p w14:paraId="2873E7F9" w14:textId="77777777" w:rsidR="00A41A74" w:rsidRDefault="00A41A74" w:rsidP="00A41A74">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p>
    <w:p w14:paraId="348ABAEA" w14:textId="0FB18625" w:rsidR="00AB700A" w:rsidRPr="00A41A74" w:rsidRDefault="00AB700A" w:rsidP="00A41A74">
      <w:pPr>
        <w:pBdr>
          <w:top w:val="nil"/>
          <w:left w:val="nil"/>
          <w:bottom w:val="nil"/>
          <w:right w:val="nil"/>
          <w:between w:val="nil"/>
        </w:pBdr>
        <w:spacing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b/>
          <w:color w:val="000000"/>
          <w:sz w:val="20"/>
          <w:szCs w:val="20"/>
          <w:highlight w:val="yellow"/>
        </w:rPr>
        <w:lastRenderedPageBreak/>
        <w:t>Author Contributions</w:t>
      </w:r>
      <w:r w:rsidRPr="00D244A5">
        <w:rPr>
          <w:rFonts w:ascii="Palatino Linotype" w:eastAsia="Palatino Linotype" w:hAnsi="Palatino Linotype" w:cs="Palatino Linotype"/>
          <w:color w:val="000000"/>
          <w:sz w:val="20"/>
          <w:szCs w:val="20"/>
        </w:rPr>
        <w:t xml:space="preserve">: Conceptualization: AC, NBD; Methodology: AC, NBD; Investigation / Data curation: NBD; Formal analysis: NBD; Visualization: NBD, AC; Writing: </w:t>
      </w:r>
      <w:proofErr w:type="gramStart"/>
      <w:r w:rsidRPr="00D244A5">
        <w:rPr>
          <w:rFonts w:ascii="Palatino Linotype" w:eastAsia="Palatino Linotype" w:hAnsi="Palatino Linotype" w:cs="Palatino Linotype"/>
          <w:color w:val="000000"/>
          <w:sz w:val="20"/>
          <w:szCs w:val="20"/>
        </w:rPr>
        <w:t>NBD ;</w:t>
      </w:r>
      <w:proofErr w:type="gramEnd"/>
      <w:r w:rsidRPr="00D244A5">
        <w:rPr>
          <w:rFonts w:ascii="Palatino Linotype" w:eastAsia="Palatino Linotype" w:hAnsi="Palatino Linotype" w:cs="Palatino Linotype"/>
          <w:color w:val="000000"/>
          <w:sz w:val="20"/>
          <w:szCs w:val="20"/>
        </w:rPr>
        <w:t xml:space="preserve"> Writing – review &amp; editing: all authors; Supervision:  AC.</w:t>
      </w:r>
    </w:p>
    <w:p w14:paraId="49316BD6" w14:textId="77777777" w:rsidR="00AB700A" w:rsidRPr="00D244A5" w:rsidRDefault="00AB700A" w:rsidP="00F055D8">
      <w:pPr>
        <w:pBdr>
          <w:top w:val="nil"/>
          <w:left w:val="nil"/>
          <w:bottom w:val="nil"/>
          <w:right w:val="nil"/>
          <w:between w:val="nil"/>
        </w:pBdr>
        <w:spacing w:after="120" w:line="360" w:lineRule="auto"/>
        <w:jc w:val="both"/>
        <w:rPr>
          <w:rFonts w:ascii="Palatino Linotype" w:eastAsia="Palatino Linotype" w:hAnsi="Palatino Linotype" w:cs="Palatino Linotype"/>
          <w:color w:val="000000"/>
          <w:sz w:val="20"/>
          <w:szCs w:val="20"/>
        </w:rPr>
      </w:pPr>
      <w:bookmarkStart w:id="5" w:name="_kln3pb7juytp" w:colFirst="0" w:colLast="0"/>
      <w:bookmarkEnd w:id="5"/>
      <w:r w:rsidRPr="00D244A5">
        <w:rPr>
          <w:rFonts w:ascii="Palatino Linotype" w:eastAsia="Palatino Linotype" w:hAnsi="Palatino Linotype" w:cs="Palatino Linotype"/>
          <w:b/>
          <w:color w:val="000000"/>
          <w:sz w:val="20"/>
          <w:szCs w:val="20"/>
        </w:rPr>
        <w:t>Funding:</w:t>
      </w:r>
      <w:r w:rsidRPr="00D244A5">
        <w:rPr>
          <w:rFonts w:ascii="Palatino Linotype" w:eastAsia="Palatino Linotype" w:hAnsi="Palatino Linotype" w:cs="Palatino Linotype"/>
          <w:color w:val="000000"/>
          <w:sz w:val="20"/>
          <w:szCs w:val="20"/>
        </w:rPr>
        <w:t xml:space="preserve"> None.</w:t>
      </w:r>
    </w:p>
    <w:p w14:paraId="0802DFDD" w14:textId="77777777" w:rsidR="00AB700A" w:rsidRPr="00D244A5" w:rsidRDefault="00AB700A" w:rsidP="00F055D8">
      <w:pPr>
        <w:pBdr>
          <w:top w:val="nil"/>
          <w:left w:val="nil"/>
          <w:bottom w:val="nil"/>
          <w:right w:val="nil"/>
          <w:between w:val="nil"/>
        </w:pBdr>
        <w:spacing w:after="120" w:line="360" w:lineRule="auto"/>
        <w:jc w:val="both"/>
        <w:rPr>
          <w:rFonts w:ascii="Palatino Linotype" w:eastAsia="Palatino Linotype" w:hAnsi="Palatino Linotype" w:cs="Palatino Linotype"/>
          <w:b/>
          <w:sz w:val="20"/>
          <w:szCs w:val="20"/>
        </w:rPr>
      </w:pPr>
      <w:r w:rsidRPr="00D244A5">
        <w:rPr>
          <w:rFonts w:ascii="Palatino Linotype" w:eastAsia="Palatino Linotype" w:hAnsi="Palatino Linotype" w:cs="Palatino Linotype"/>
          <w:b/>
          <w:sz w:val="20"/>
          <w:szCs w:val="20"/>
        </w:rPr>
        <w:t xml:space="preserve">Institutional Review Board Statement: </w:t>
      </w:r>
      <w:r w:rsidRPr="00D244A5">
        <w:rPr>
          <w:rFonts w:ascii="Palatino Linotype" w:eastAsia="Palatino Linotype" w:hAnsi="Palatino Linotype" w:cs="Palatino Linotype"/>
          <w:sz w:val="20"/>
          <w:szCs w:val="20"/>
        </w:rPr>
        <w:t xml:space="preserve">The study was conducted in accordance with the Declaration of Helsinki and approved by the </w:t>
      </w:r>
      <w:proofErr w:type="spellStart"/>
      <w:r w:rsidRPr="00D244A5">
        <w:rPr>
          <w:rFonts w:ascii="Palatino Linotype" w:eastAsia="Palatino Linotype" w:hAnsi="Palatino Linotype" w:cs="Palatino Linotype"/>
          <w:sz w:val="20"/>
          <w:szCs w:val="20"/>
        </w:rPr>
        <w:t>Comitato</w:t>
      </w:r>
      <w:proofErr w:type="spellEnd"/>
      <w:r w:rsidRPr="00D244A5">
        <w:rPr>
          <w:rFonts w:ascii="Palatino Linotype" w:eastAsia="Palatino Linotype" w:hAnsi="Palatino Linotype" w:cs="Palatino Linotype"/>
          <w:sz w:val="20"/>
          <w:szCs w:val="20"/>
        </w:rPr>
        <w:t xml:space="preserve"> </w:t>
      </w:r>
      <w:proofErr w:type="spellStart"/>
      <w:r w:rsidRPr="00D244A5">
        <w:rPr>
          <w:rFonts w:ascii="Palatino Linotype" w:eastAsia="Palatino Linotype" w:hAnsi="Palatino Linotype" w:cs="Palatino Linotype"/>
          <w:sz w:val="20"/>
          <w:szCs w:val="20"/>
        </w:rPr>
        <w:t>Etico</w:t>
      </w:r>
      <w:proofErr w:type="spellEnd"/>
      <w:r w:rsidRPr="00D244A5">
        <w:rPr>
          <w:rFonts w:ascii="Palatino Linotype" w:eastAsia="Palatino Linotype" w:hAnsi="Palatino Linotype" w:cs="Palatino Linotype"/>
          <w:sz w:val="20"/>
          <w:szCs w:val="20"/>
        </w:rPr>
        <w:t xml:space="preserve"> di Area Vasta Emilia Centro (IRCCS Azienda Ospedaliero–Universitaria di Bologna, Policlinico di </w:t>
      </w:r>
      <w:proofErr w:type="spellStart"/>
      <w:r w:rsidRPr="00D244A5">
        <w:rPr>
          <w:rFonts w:ascii="Palatino Linotype" w:eastAsia="Palatino Linotype" w:hAnsi="Palatino Linotype" w:cs="Palatino Linotype"/>
          <w:sz w:val="20"/>
          <w:szCs w:val="20"/>
        </w:rPr>
        <w:t>Sant’Orsola</w:t>
      </w:r>
      <w:proofErr w:type="spellEnd"/>
      <w:r w:rsidRPr="00D244A5">
        <w:rPr>
          <w:rFonts w:ascii="Palatino Linotype" w:eastAsia="Palatino Linotype" w:hAnsi="Palatino Linotype" w:cs="Palatino Linotype"/>
          <w:sz w:val="20"/>
          <w:szCs w:val="20"/>
        </w:rPr>
        <w:t xml:space="preserve">, Italy). </w:t>
      </w:r>
      <w:r w:rsidRPr="00D244A5">
        <w:rPr>
          <w:rFonts w:ascii="Palatino Linotype" w:eastAsia="Palatino Linotype" w:hAnsi="Palatino Linotype" w:cs="Palatino Linotype"/>
          <w:sz w:val="20"/>
          <w:szCs w:val="20"/>
          <w:highlight w:val="yellow"/>
        </w:rPr>
        <w:t>Approval Code: [insert].</w:t>
      </w:r>
    </w:p>
    <w:p w14:paraId="7152E312" w14:textId="77777777" w:rsidR="00AB700A" w:rsidRPr="00D244A5" w:rsidRDefault="00AB700A" w:rsidP="00F055D8">
      <w:pPr>
        <w:pBdr>
          <w:top w:val="nil"/>
          <w:left w:val="nil"/>
          <w:bottom w:val="nil"/>
          <w:right w:val="nil"/>
          <w:between w:val="nil"/>
        </w:pBdr>
        <w:spacing w:after="120" w:line="360" w:lineRule="auto"/>
        <w:jc w:val="both"/>
        <w:rPr>
          <w:rFonts w:ascii="Palatino Linotype" w:eastAsia="Palatino Linotype" w:hAnsi="Palatino Linotype" w:cs="Palatino Linotype"/>
          <w:sz w:val="20"/>
          <w:szCs w:val="20"/>
        </w:rPr>
      </w:pPr>
      <w:r w:rsidRPr="00D244A5">
        <w:rPr>
          <w:rFonts w:ascii="Palatino Linotype" w:eastAsia="Palatino Linotype" w:hAnsi="Palatino Linotype" w:cs="Palatino Linotype"/>
          <w:b/>
          <w:sz w:val="20"/>
          <w:szCs w:val="20"/>
        </w:rPr>
        <w:t xml:space="preserve">Informed Consent Statement: </w:t>
      </w:r>
      <w:r w:rsidRPr="00D244A5">
        <w:rPr>
          <w:rFonts w:ascii="Palatino Linotype" w:eastAsia="Palatino Linotype" w:hAnsi="Palatino Linotype" w:cs="Palatino Linotype"/>
          <w:color w:val="000000"/>
          <w:sz w:val="20"/>
          <w:szCs w:val="20"/>
        </w:rPr>
        <w:t>The requirement for informed consent was waived due to the retrospective study design and the use of anonymized data.</w:t>
      </w:r>
    </w:p>
    <w:p w14:paraId="13DE15D0" w14:textId="77777777" w:rsidR="00AB700A" w:rsidRPr="00D244A5" w:rsidRDefault="00AB700A" w:rsidP="00F055D8">
      <w:pPr>
        <w:pBdr>
          <w:top w:val="nil"/>
          <w:left w:val="nil"/>
          <w:bottom w:val="nil"/>
          <w:right w:val="nil"/>
          <w:between w:val="nil"/>
        </w:pBdr>
        <w:spacing w:after="120" w:line="360" w:lineRule="auto"/>
        <w:jc w:val="both"/>
        <w:rPr>
          <w:rFonts w:ascii="Palatino Linotype" w:eastAsia="Palatino Linotype" w:hAnsi="Palatino Linotype" w:cs="Palatino Linotype"/>
          <w:color w:val="000000"/>
          <w:sz w:val="20"/>
          <w:szCs w:val="20"/>
        </w:rPr>
      </w:pPr>
      <w:r w:rsidRPr="00D244A5">
        <w:rPr>
          <w:rFonts w:ascii="Palatino Linotype" w:eastAsia="Palatino Linotype" w:hAnsi="Palatino Linotype" w:cs="Palatino Linotype"/>
          <w:b/>
          <w:sz w:val="20"/>
          <w:szCs w:val="20"/>
        </w:rPr>
        <w:t xml:space="preserve">Disclosures: </w:t>
      </w:r>
      <w:r w:rsidRPr="00D244A5">
        <w:rPr>
          <w:rFonts w:ascii="Palatino Linotype" w:eastAsia="Palatino Linotype" w:hAnsi="Palatino Linotype" w:cs="Palatino Linotype"/>
          <w:sz w:val="20"/>
          <w:szCs w:val="20"/>
        </w:rPr>
        <w:t>The authors report no conflicts of interest concerning the materials or methods used in this study or the findings specified in this paper.</w:t>
      </w:r>
    </w:p>
    <w:p w14:paraId="49F7922C" w14:textId="77777777" w:rsidR="00AB700A" w:rsidRPr="00D244A5" w:rsidRDefault="00AB700A" w:rsidP="00F055D8">
      <w:pPr>
        <w:pBdr>
          <w:top w:val="nil"/>
          <w:left w:val="nil"/>
          <w:bottom w:val="nil"/>
          <w:right w:val="nil"/>
          <w:between w:val="nil"/>
        </w:pBdr>
        <w:spacing w:after="120" w:line="360" w:lineRule="auto"/>
        <w:jc w:val="both"/>
        <w:rPr>
          <w:rFonts w:ascii="Palatino Linotype" w:eastAsia="Palatino Linotype" w:hAnsi="Palatino Linotype" w:cs="Palatino Linotype"/>
          <w:b/>
          <w:color w:val="000000"/>
          <w:sz w:val="18"/>
          <w:szCs w:val="18"/>
        </w:rPr>
      </w:pPr>
    </w:p>
    <w:p w14:paraId="39AF7202" w14:textId="77777777" w:rsidR="00AB700A" w:rsidRPr="00D244A5" w:rsidRDefault="00AB700A" w:rsidP="00F055D8">
      <w:pPr>
        <w:pBdr>
          <w:top w:val="nil"/>
          <w:left w:val="nil"/>
          <w:bottom w:val="nil"/>
          <w:right w:val="nil"/>
          <w:between w:val="nil"/>
        </w:pBdr>
        <w:spacing w:line="360" w:lineRule="auto"/>
        <w:ind w:firstLine="288"/>
        <w:jc w:val="both"/>
        <w:rPr>
          <w:rFonts w:ascii="Palatino Linotype" w:eastAsia="Palatino Linotype" w:hAnsi="Palatino Linotype" w:cs="Palatino Linotype"/>
          <w:color w:val="000000"/>
          <w:sz w:val="20"/>
          <w:szCs w:val="20"/>
        </w:rPr>
      </w:pPr>
    </w:p>
    <w:p w14:paraId="1AB59045" w14:textId="77777777" w:rsidR="00AB700A" w:rsidRPr="00D244A5" w:rsidRDefault="00AB700A" w:rsidP="00F055D8">
      <w:pPr>
        <w:pBdr>
          <w:top w:val="nil"/>
          <w:left w:val="nil"/>
          <w:bottom w:val="nil"/>
          <w:right w:val="nil"/>
          <w:between w:val="nil"/>
        </w:pBdr>
        <w:spacing w:line="360" w:lineRule="auto"/>
        <w:jc w:val="both"/>
        <w:rPr>
          <w:rFonts w:ascii="Palatino Linotype" w:eastAsia="Palatino Linotype" w:hAnsi="Palatino Linotype" w:cs="Palatino Linotype"/>
          <w:color w:val="000000"/>
          <w:sz w:val="28"/>
          <w:szCs w:val="28"/>
        </w:rPr>
      </w:pPr>
      <w:r w:rsidRPr="00D244A5">
        <w:rPr>
          <w:rFonts w:ascii="Palatino Linotype" w:eastAsia="Palatino Linotype" w:hAnsi="Palatino Linotype" w:cs="Palatino Linotype"/>
          <w:color w:val="000000"/>
          <w:sz w:val="28"/>
          <w:szCs w:val="28"/>
        </w:rPr>
        <w:t>References</w:t>
      </w:r>
    </w:p>
    <w:p w14:paraId="6A64C6B1" w14:textId="77777777" w:rsidR="00943DE9" w:rsidRPr="00943DE9" w:rsidRDefault="007C5CEF" w:rsidP="00943DE9">
      <w:pPr>
        <w:pStyle w:val="Bibliography"/>
        <w:rPr>
          <w:color w:val="000000"/>
          <w:sz w:val="20"/>
        </w:rPr>
      </w:pPr>
      <w:r>
        <w:rPr>
          <w:color w:val="000000"/>
          <w:sz w:val="20"/>
          <w:szCs w:val="20"/>
        </w:rPr>
        <w:fldChar w:fldCharType="begin"/>
      </w:r>
      <w:r w:rsidR="00943DE9">
        <w:rPr>
          <w:color w:val="000000"/>
          <w:sz w:val="20"/>
          <w:szCs w:val="20"/>
        </w:rPr>
        <w:instrText xml:space="preserve"> ADDIN ZOTERO_BIBL {"uncited":[],"omitted":[],"custom":[]} CSL_BIBLIOGRAPHY </w:instrText>
      </w:r>
      <w:r>
        <w:rPr>
          <w:color w:val="000000"/>
          <w:sz w:val="20"/>
          <w:szCs w:val="20"/>
        </w:rPr>
        <w:fldChar w:fldCharType="separate"/>
      </w:r>
      <w:r w:rsidR="00943DE9" w:rsidRPr="00943DE9">
        <w:rPr>
          <w:color w:val="000000"/>
          <w:sz w:val="20"/>
        </w:rPr>
        <w:t>1.</w:t>
      </w:r>
      <w:r w:rsidR="00943DE9" w:rsidRPr="00943DE9">
        <w:rPr>
          <w:color w:val="000000"/>
          <w:sz w:val="20"/>
        </w:rPr>
        <w:tab/>
        <w:t xml:space="preserve">Ostrom QT, Cioffi G, Waite K, Kruchko C, Barnholtz-Sloan JS. CBTRUS Statistical Report: Primary Brain and Other Central Nervous System Tumors Diagnosed in the United States in 2014–2018. </w:t>
      </w:r>
      <w:r w:rsidR="00943DE9" w:rsidRPr="00943DE9">
        <w:rPr>
          <w:i/>
          <w:iCs/>
          <w:color w:val="000000"/>
          <w:sz w:val="20"/>
        </w:rPr>
        <w:t>Neuro-Oncology</w:t>
      </w:r>
      <w:r w:rsidR="00943DE9" w:rsidRPr="00943DE9">
        <w:rPr>
          <w:color w:val="000000"/>
          <w:sz w:val="20"/>
        </w:rPr>
        <w:t>. 2021;23(Supplement_3):iii1-iii105. doi:10.1093/neuonc/noab200</w:t>
      </w:r>
    </w:p>
    <w:p w14:paraId="372756E8" w14:textId="77777777" w:rsidR="00943DE9" w:rsidRPr="00943DE9" w:rsidRDefault="00943DE9" w:rsidP="00943DE9">
      <w:pPr>
        <w:pStyle w:val="Bibliography"/>
        <w:rPr>
          <w:color w:val="000000"/>
          <w:sz w:val="20"/>
        </w:rPr>
      </w:pPr>
      <w:r w:rsidRPr="00943DE9">
        <w:rPr>
          <w:color w:val="000000"/>
          <w:sz w:val="20"/>
        </w:rPr>
        <w:t>2.</w:t>
      </w:r>
      <w:r w:rsidRPr="00943DE9">
        <w:rPr>
          <w:color w:val="000000"/>
          <w:sz w:val="20"/>
        </w:rPr>
        <w:tab/>
        <w:t xml:space="preserve">Wang YC, Chuang CC, Wei KC, et al. Skull base atypical meningioma: Long term surgical outcome and prognostic factors. </w:t>
      </w:r>
      <w:r w:rsidRPr="00943DE9">
        <w:rPr>
          <w:i/>
          <w:iCs/>
          <w:color w:val="000000"/>
          <w:sz w:val="20"/>
        </w:rPr>
        <w:t>Clinical Neurology and Neurosurgery</w:t>
      </w:r>
      <w:r w:rsidRPr="00943DE9">
        <w:rPr>
          <w:color w:val="000000"/>
          <w:sz w:val="20"/>
        </w:rPr>
        <w:t>. 2015;128:112-116. doi:10.1016/j.clineuro.2014.11.009</w:t>
      </w:r>
    </w:p>
    <w:p w14:paraId="7B3DDD9E" w14:textId="77777777" w:rsidR="00943DE9" w:rsidRPr="00943DE9" w:rsidRDefault="00943DE9" w:rsidP="00943DE9">
      <w:pPr>
        <w:pStyle w:val="Bibliography"/>
        <w:rPr>
          <w:color w:val="000000"/>
          <w:sz w:val="20"/>
        </w:rPr>
      </w:pPr>
      <w:r w:rsidRPr="00943DE9">
        <w:rPr>
          <w:color w:val="000000"/>
          <w:sz w:val="20"/>
        </w:rPr>
        <w:t>3.</w:t>
      </w:r>
      <w:r w:rsidRPr="00943DE9">
        <w:rPr>
          <w:color w:val="000000"/>
          <w:sz w:val="20"/>
        </w:rPr>
        <w:tab/>
        <w:t xml:space="preserve">Goldbrunner R, Stavrinou P, Jenkinson MD, et al. EANO guideline on the diagnosis and management of meningiomas. </w:t>
      </w:r>
      <w:r w:rsidRPr="00943DE9">
        <w:rPr>
          <w:i/>
          <w:iCs/>
          <w:color w:val="000000"/>
          <w:sz w:val="20"/>
        </w:rPr>
        <w:t>Neuro-Oncology</w:t>
      </w:r>
      <w:r w:rsidRPr="00943DE9">
        <w:rPr>
          <w:color w:val="000000"/>
          <w:sz w:val="20"/>
        </w:rPr>
        <w:t>. 2021;23(11):1821-1834. doi:10.1093/neuonc/noab150</w:t>
      </w:r>
    </w:p>
    <w:p w14:paraId="0F6BE05A" w14:textId="77777777" w:rsidR="00943DE9" w:rsidRPr="00943DE9" w:rsidRDefault="00943DE9" w:rsidP="00943DE9">
      <w:pPr>
        <w:pStyle w:val="Bibliography"/>
        <w:rPr>
          <w:color w:val="000000"/>
          <w:sz w:val="20"/>
        </w:rPr>
      </w:pPr>
      <w:r w:rsidRPr="00943DE9">
        <w:rPr>
          <w:color w:val="000000"/>
          <w:sz w:val="20"/>
        </w:rPr>
        <w:t>4.</w:t>
      </w:r>
      <w:r w:rsidRPr="00943DE9">
        <w:rPr>
          <w:color w:val="000000"/>
          <w:sz w:val="20"/>
        </w:rPr>
        <w:tab/>
        <w:t xml:space="preserve">Lee JH, ed. </w:t>
      </w:r>
      <w:r w:rsidRPr="00943DE9">
        <w:rPr>
          <w:i/>
          <w:iCs/>
          <w:color w:val="000000"/>
          <w:sz w:val="20"/>
        </w:rPr>
        <w:t>Meningiomas</w:t>
      </w:r>
      <w:r w:rsidRPr="00943DE9">
        <w:rPr>
          <w:color w:val="000000"/>
          <w:sz w:val="20"/>
        </w:rPr>
        <w:t>. Springer London; 2009. doi:10.1007/978-1-84628-784-8</w:t>
      </w:r>
    </w:p>
    <w:p w14:paraId="388A8A07" w14:textId="77777777" w:rsidR="00943DE9" w:rsidRPr="00943DE9" w:rsidRDefault="00943DE9" w:rsidP="00943DE9">
      <w:pPr>
        <w:pStyle w:val="Bibliography"/>
        <w:rPr>
          <w:color w:val="000000"/>
          <w:sz w:val="20"/>
        </w:rPr>
      </w:pPr>
      <w:r w:rsidRPr="00943DE9">
        <w:rPr>
          <w:color w:val="000000"/>
          <w:sz w:val="20"/>
        </w:rPr>
        <w:t>5.</w:t>
      </w:r>
      <w:r w:rsidRPr="00943DE9">
        <w:rPr>
          <w:color w:val="000000"/>
          <w:sz w:val="20"/>
        </w:rPr>
        <w:tab/>
        <w:t xml:space="preserve">Chan RC, Thompson GB. Morbidity, mortality, and quality of life following surgery for intracranial meningiomas. </w:t>
      </w:r>
      <w:r w:rsidRPr="00943DE9">
        <w:rPr>
          <w:i/>
          <w:iCs/>
          <w:color w:val="000000"/>
          <w:sz w:val="20"/>
        </w:rPr>
        <w:t>Journal of Neurosurgery</w:t>
      </w:r>
      <w:r w:rsidRPr="00943DE9">
        <w:rPr>
          <w:color w:val="000000"/>
          <w:sz w:val="20"/>
        </w:rPr>
        <w:t>. 1984;60(1):52-60. doi:10.3171/jns.1984.60.1.0052</w:t>
      </w:r>
    </w:p>
    <w:p w14:paraId="35DE0443" w14:textId="77777777" w:rsidR="00943DE9" w:rsidRPr="00943DE9" w:rsidRDefault="00943DE9" w:rsidP="00943DE9">
      <w:pPr>
        <w:pStyle w:val="Bibliography"/>
        <w:rPr>
          <w:color w:val="000000"/>
          <w:sz w:val="20"/>
        </w:rPr>
      </w:pPr>
      <w:r w:rsidRPr="00943DE9">
        <w:rPr>
          <w:color w:val="000000"/>
          <w:sz w:val="20"/>
        </w:rPr>
        <w:t>6.</w:t>
      </w:r>
      <w:r w:rsidRPr="00943DE9">
        <w:rPr>
          <w:color w:val="000000"/>
          <w:sz w:val="20"/>
        </w:rPr>
        <w:tab/>
        <w:t xml:space="preserve">Lemée JM, Corniola MV, Da Broi M, Schaller K, Meling TR. Early Postoperative Complications in Meningioma: Predictive Factors and Impact on Outcome. </w:t>
      </w:r>
      <w:r w:rsidRPr="00943DE9">
        <w:rPr>
          <w:i/>
          <w:iCs/>
          <w:color w:val="000000"/>
          <w:sz w:val="20"/>
        </w:rPr>
        <w:t>World Neurosurgery</w:t>
      </w:r>
      <w:r w:rsidRPr="00943DE9">
        <w:rPr>
          <w:color w:val="000000"/>
          <w:sz w:val="20"/>
        </w:rPr>
        <w:t>. 2019;128:e851-e858. doi:10.1016/j.wneu.2019.05.010</w:t>
      </w:r>
    </w:p>
    <w:p w14:paraId="21565063" w14:textId="77777777" w:rsidR="00943DE9" w:rsidRPr="00943DE9" w:rsidRDefault="00943DE9" w:rsidP="00943DE9">
      <w:pPr>
        <w:pStyle w:val="Bibliography"/>
        <w:rPr>
          <w:color w:val="000000"/>
          <w:sz w:val="20"/>
        </w:rPr>
      </w:pPr>
      <w:r w:rsidRPr="00943DE9">
        <w:rPr>
          <w:color w:val="000000"/>
          <w:sz w:val="20"/>
        </w:rPr>
        <w:t>7.</w:t>
      </w:r>
      <w:r w:rsidRPr="00943DE9">
        <w:rPr>
          <w:color w:val="000000"/>
          <w:sz w:val="20"/>
        </w:rPr>
        <w:tab/>
        <w:t xml:space="preserve">Jenkins FS, Vasella F, Padevit L, et al. Preoperative risk factors associated with new focal neurological deficit and other major adverse events in first-time intracranial meningioma neurosurgery. </w:t>
      </w:r>
      <w:r w:rsidRPr="00943DE9">
        <w:rPr>
          <w:i/>
          <w:iCs/>
          <w:color w:val="000000"/>
          <w:sz w:val="20"/>
        </w:rPr>
        <w:t>Acta Neurochir</w:t>
      </w:r>
      <w:r w:rsidRPr="00943DE9">
        <w:rPr>
          <w:color w:val="000000"/>
          <w:sz w:val="20"/>
        </w:rPr>
        <w:t>. 2021;163(10):2871-2879. doi:10.1007/s00701-021-04897-x</w:t>
      </w:r>
    </w:p>
    <w:p w14:paraId="0756BBD6" w14:textId="77777777" w:rsidR="00943DE9" w:rsidRPr="00943DE9" w:rsidRDefault="00943DE9" w:rsidP="00943DE9">
      <w:pPr>
        <w:pStyle w:val="Bibliography"/>
        <w:rPr>
          <w:color w:val="000000"/>
          <w:sz w:val="20"/>
        </w:rPr>
      </w:pPr>
      <w:r w:rsidRPr="00943DE9">
        <w:rPr>
          <w:color w:val="000000"/>
          <w:sz w:val="20"/>
        </w:rPr>
        <w:t>8.</w:t>
      </w:r>
      <w:r w:rsidRPr="00943DE9">
        <w:rPr>
          <w:color w:val="000000"/>
          <w:sz w:val="20"/>
        </w:rPr>
        <w:tab/>
        <w:t xml:space="preserve">San A, Rahman RK, Sanmugananthan P, et al. Health-Related Quality of Life Outcomes in Meningioma Patients Based upon Tumor Location and Treatment Modality: A Systematic Review and Meta-Analysis. </w:t>
      </w:r>
      <w:r w:rsidRPr="00943DE9">
        <w:rPr>
          <w:i/>
          <w:iCs/>
          <w:color w:val="000000"/>
          <w:sz w:val="20"/>
        </w:rPr>
        <w:t>Cancers</w:t>
      </w:r>
      <w:r w:rsidRPr="00943DE9">
        <w:rPr>
          <w:color w:val="000000"/>
          <w:sz w:val="20"/>
        </w:rPr>
        <w:t>. 2023;15(19):4680. doi:10.3390/cancers15194680</w:t>
      </w:r>
    </w:p>
    <w:p w14:paraId="2570BA5D" w14:textId="77777777" w:rsidR="00943DE9" w:rsidRPr="00943DE9" w:rsidRDefault="00943DE9" w:rsidP="00943DE9">
      <w:pPr>
        <w:pStyle w:val="Bibliography"/>
        <w:rPr>
          <w:color w:val="000000"/>
          <w:sz w:val="20"/>
        </w:rPr>
      </w:pPr>
      <w:r w:rsidRPr="00943DE9">
        <w:rPr>
          <w:color w:val="000000"/>
          <w:sz w:val="20"/>
        </w:rPr>
        <w:lastRenderedPageBreak/>
        <w:t>9.</w:t>
      </w:r>
      <w:r w:rsidRPr="00943DE9">
        <w:rPr>
          <w:color w:val="000000"/>
          <w:sz w:val="20"/>
        </w:rPr>
        <w:tab/>
        <w:t xml:space="preserve">Pradhan R, Misra BK, Hosmann A. Quality of life in patients with skull base meningiomas treated with microsurgery: a prospective observational study. </w:t>
      </w:r>
      <w:r w:rsidRPr="00943DE9">
        <w:rPr>
          <w:i/>
          <w:iCs/>
          <w:color w:val="000000"/>
          <w:sz w:val="20"/>
        </w:rPr>
        <w:t>Acta Neurochir (Wien)</w:t>
      </w:r>
      <w:r w:rsidRPr="00943DE9">
        <w:rPr>
          <w:color w:val="000000"/>
          <w:sz w:val="20"/>
        </w:rPr>
        <w:t>. 2024;166(1):416. doi:10.1007/s00701-024-06291-9</w:t>
      </w:r>
    </w:p>
    <w:p w14:paraId="70AA4F69" w14:textId="77777777" w:rsidR="00943DE9" w:rsidRPr="00943DE9" w:rsidRDefault="00943DE9" w:rsidP="00943DE9">
      <w:pPr>
        <w:pStyle w:val="Bibliography"/>
        <w:rPr>
          <w:color w:val="000000"/>
          <w:sz w:val="20"/>
        </w:rPr>
      </w:pPr>
      <w:r w:rsidRPr="00943DE9">
        <w:rPr>
          <w:color w:val="000000"/>
          <w:sz w:val="20"/>
        </w:rPr>
        <w:t>10.</w:t>
      </w:r>
      <w:r w:rsidRPr="00943DE9">
        <w:rPr>
          <w:color w:val="000000"/>
          <w:sz w:val="20"/>
        </w:rPr>
        <w:tab/>
        <w:t xml:space="preserve">Rangel-Castilla L, Russin JJ, Spetzler RF. Surgical management of skull base tumors. </w:t>
      </w:r>
      <w:r w:rsidRPr="00943DE9">
        <w:rPr>
          <w:i/>
          <w:iCs/>
          <w:color w:val="000000"/>
          <w:sz w:val="20"/>
        </w:rPr>
        <w:t>Reports of Practical Oncology &amp; Radiotherapy</w:t>
      </w:r>
      <w:r w:rsidRPr="00943DE9">
        <w:rPr>
          <w:color w:val="000000"/>
          <w:sz w:val="20"/>
        </w:rPr>
        <w:t>. 2016;21(4):325-335. doi:10.1016/j.rpor.2014.09.002</w:t>
      </w:r>
    </w:p>
    <w:p w14:paraId="50B54FE0" w14:textId="77777777" w:rsidR="00943DE9" w:rsidRPr="00943DE9" w:rsidRDefault="00943DE9" w:rsidP="00943DE9">
      <w:pPr>
        <w:pStyle w:val="Bibliography"/>
        <w:rPr>
          <w:color w:val="000000"/>
          <w:sz w:val="20"/>
        </w:rPr>
      </w:pPr>
      <w:r w:rsidRPr="00943DE9">
        <w:rPr>
          <w:color w:val="000000"/>
          <w:sz w:val="20"/>
        </w:rPr>
        <w:t>11.</w:t>
      </w:r>
      <w:r w:rsidRPr="00943DE9">
        <w:rPr>
          <w:color w:val="000000"/>
          <w:sz w:val="20"/>
        </w:rPr>
        <w:tab/>
        <w:t xml:space="preserve">Kelleher MO, Fernandes MF, Sim DW, O’Sullivan MG. Health-related quality of life in patients with skull base tumours. </w:t>
      </w:r>
      <w:r w:rsidRPr="00943DE9">
        <w:rPr>
          <w:i/>
          <w:iCs/>
          <w:color w:val="000000"/>
          <w:sz w:val="20"/>
        </w:rPr>
        <w:t>British Journal of Neurosurgery</w:t>
      </w:r>
      <w:r w:rsidRPr="00943DE9">
        <w:rPr>
          <w:color w:val="000000"/>
          <w:sz w:val="20"/>
        </w:rPr>
        <w:t>. 2002;16(1):16-20. doi:10.1080/02688690120114183</w:t>
      </w:r>
    </w:p>
    <w:p w14:paraId="56C63165" w14:textId="77777777" w:rsidR="00943DE9" w:rsidRPr="00943DE9" w:rsidRDefault="00943DE9" w:rsidP="00943DE9">
      <w:pPr>
        <w:pStyle w:val="Bibliography"/>
        <w:rPr>
          <w:color w:val="000000"/>
          <w:sz w:val="20"/>
        </w:rPr>
      </w:pPr>
      <w:r w:rsidRPr="00943DE9">
        <w:rPr>
          <w:color w:val="000000"/>
          <w:sz w:val="20"/>
        </w:rPr>
        <w:t>12.</w:t>
      </w:r>
      <w:r w:rsidRPr="00943DE9">
        <w:rPr>
          <w:color w:val="000000"/>
          <w:sz w:val="20"/>
        </w:rPr>
        <w:tab/>
        <w:t xml:space="preserve">Chen CM, Huang APH, Kuo LT, Tu YK. Contemporary surgical outcome for skull base meningiomas. </w:t>
      </w:r>
      <w:r w:rsidRPr="00943DE9">
        <w:rPr>
          <w:i/>
          <w:iCs/>
          <w:color w:val="000000"/>
          <w:sz w:val="20"/>
        </w:rPr>
        <w:t>Neurosurg Rev</w:t>
      </w:r>
      <w:r w:rsidRPr="00943DE9">
        <w:rPr>
          <w:color w:val="000000"/>
          <w:sz w:val="20"/>
        </w:rPr>
        <w:t>. 2011;34(3):281-296. doi:10.1007/s10143-011-0321-x</w:t>
      </w:r>
    </w:p>
    <w:p w14:paraId="0C61D48C" w14:textId="77777777" w:rsidR="00943DE9" w:rsidRPr="00943DE9" w:rsidRDefault="00943DE9" w:rsidP="00943DE9">
      <w:pPr>
        <w:pStyle w:val="Bibliography"/>
        <w:rPr>
          <w:color w:val="000000"/>
          <w:sz w:val="20"/>
        </w:rPr>
      </w:pPr>
      <w:r w:rsidRPr="00943DE9">
        <w:rPr>
          <w:color w:val="000000"/>
          <w:sz w:val="20"/>
        </w:rPr>
        <w:t>13.</w:t>
      </w:r>
      <w:r w:rsidRPr="00943DE9">
        <w:rPr>
          <w:color w:val="000000"/>
          <w:sz w:val="20"/>
        </w:rPr>
        <w:tab/>
        <w:t xml:space="preserve">May M, Sedlak V, Pecen L, et al. Role of risk factors, scoring systems, and prognostic models in predicting the functional outcome in meningioma surgery: multicentric study of 552 skull base meningiomas. </w:t>
      </w:r>
      <w:r w:rsidRPr="00943DE9">
        <w:rPr>
          <w:i/>
          <w:iCs/>
          <w:color w:val="000000"/>
          <w:sz w:val="20"/>
        </w:rPr>
        <w:t>Neurosurg Rev</w:t>
      </w:r>
      <w:r w:rsidRPr="00943DE9">
        <w:rPr>
          <w:color w:val="000000"/>
          <w:sz w:val="20"/>
        </w:rPr>
        <w:t>. 2023;46(1):124. doi:10.1007/s10143-023-02004-5</w:t>
      </w:r>
    </w:p>
    <w:p w14:paraId="2023C512" w14:textId="77777777" w:rsidR="00943DE9" w:rsidRPr="00943DE9" w:rsidRDefault="00943DE9" w:rsidP="00943DE9">
      <w:pPr>
        <w:pStyle w:val="Bibliography"/>
        <w:rPr>
          <w:color w:val="000000"/>
          <w:sz w:val="20"/>
        </w:rPr>
      </w:pPr>
      <w:r w:rsidRPr="00943DE9">
        <w:rPr>
          <w:color w:val="000000"/>
          <w:sz w:val="20"/>
        </w:rPr>
        <w:t>14.</w:t>
      </w:r>
      <w:r w:rsidRPr="00943DE9">
        <w:rPr>
          <w:color w:val="000000"/>
          <w:sz w:val="20"/>
        </w:rPr>
        <w:tab/>
        <w:t xml:space="preserve">Muhlestein W, Akagi D, Chotai S, Chambless L. The impact of presurgical comorbidities on discharge disposition and length of hospitalization following craniotomy for brain tumor. </w:t>
      </w:r>
      <w:r w:rsidRPr="00943DE9">
        <w:rPr>
          <w:i/>
          <w:iCs/>
          <w:color w:val="000000"/>
          <w:sz w:val="20"/>
        </w:rPr>
        <w:t>Surg Neurol Int</w:t>
      </w:r>
      <w:r w:rsidRPr="00943DE9">
        <w:rPr>
          <w:color w:val="000000"/>
          <w:sz w:val="20"/>
        </w:rPr>
        <w:t>. 2017;8(1):220. doi:10.4103/sni.sni_54_17</w:t>
      </w:r>
    </w:p>
    <w:p w14:paraId="174BFE96" w14:textId="77777777" w:rsidR="00943DE9" w:rsidRPr="00943DE9" w:rsidRDefault="00943DE9" w:rsidP="00943DE9">
      <w:pPr>
        <w:pStyle w:val="Bibliography"/>
        <w:rPr>
          <w:color w:val="000000"/>
          <w:sz w:val="20"/>
        </w:rPr>
      </w:pPr>
      <w:r w:rsidRPr="00943DE9">
        <w:rPr>
          <w:color w:val="000000"/>
          <w:sz w:val="20"/>
        </w:rPr>
        <w:t>15.</w:t>
      </w:r>
      <w:r w:rsidRPr="00943DE9">
        <w:rPr>
          <w:color w:val="000000"/>
          <w:sz w:val="20"/>
        </w:rPr>
        <w:tab/>
        <w:t xml:space="preserve">Miao Y, Lu X, Qiu Y, Jiang J, Lin Y. A multivariate analysis of prognostic factors for health-related quality of life in patients with surgically managed meningioma. </w:t>
      </w:r>
      <w:r w:rsidRPr="00943DE9">
        <w:rPr>
          <w:i/>
          <w:iCs/>
          <w:color w:val="000000"/>
          <w:sz w:val="20"/>
        </w:rPr>
        <w:t>Journal of Clinical Neuroscience</w:t>
      </w:r>
      <w:r w:rsidRPr="00943DE9">
        <w:rPr>
          <w:color w:val="000000"/>
          <w:sz w:val="20"/>
        </w:rPr>
        <w:t>. 2010;17(4):446-449. doi:10.1016/j.jocn.2009.07.111</w:t>
      </w:r>
    </w:p>
    <w:p w14:paraId="59727910" w14:textId="77777777" w:rsidR="00943DE9" w:rsidRPr="00943DE9" w:rsidRDefault="00943DE9" w:rsidP="00943DE9">
      <w:pPr>
        <w:pStyle w:val="Bibliography"/>
        <w:rPr>
          <w:color w:val="000000"/>
          <w:sz w:val="20"/>
        </w:rPr>
      </w:pPr>
      <w:r w:rsidRPr="00943DE9">
        <w:rPr>
          <w:color w:val="000000"/>
          <w:sz w:val="20"/>
        </w:rPr>
        <w:t>16.</w:t>
      </w:r>
      <w:r w:rsidRPr="00943DE9">
        <w:rPr>
          <w:color w:val="000000"/>
          <w:sz w:val="20"/>
        </w:rPr>
        <w:tab/>
        <w:t xml:space="preserve">Bibault JE, Giraud P, Burgun A. Big Data and machine learning in radiation oncology: State of the art and future prospects. </w:t>
      </w:r>
      <w:r w:rsidRPr="00943DE9">
        <w:rPr>
          <w:i/>
          <w:iCs/>
          <w:color w:val="000000"/>
          <w:sz w:val="20"/>
        </w:rPr>
        <w:t>Cancer Letters</w:t>
      </w:r>
      <w:r w:rsidRPr="00943DE9">
        <w:rPr>
          <w:color w:val="000000"/>
          <w:sz w:val="20"/>
        </w:rPr>
        <w:t>. 2016;382(1):110-117. doi:10.1016/j.canlet.2016.05.033</w:t>
      </w:r>
    </w:p>
    <w:p w14:paraId="179B39F9" w14:textId="77777777" w:rsidR="00943DE9" w:rsidRPr="00943DE9" w:rsidRDefault="00943DE9" w:rsidP="00943DE9">
      <w:pPr>
        <w:pStyle w:val="Bibliography"/>
        <w:rPr>
          <w:color w:val="000000"/>
          <w:sz w:val="20"/>
        </w:rPr>
      </w:pPr>
      <w:r w:rsidRPr="00943DE9">
        <w:rPr>
          <w:color w:val="000000"/>
          <w:sz w:val="20"/>
        </w:rPr>
        <w:t>17.</w:t>
      </w:r>
      <w:r w:rsidRPr="00943DE9">
        <w:rPr>
          <w:color w:val="000000"/>
          <w:sz w:val="20"/>
        </w:rPr>
        <w:tab/>
        <w:t xml:space="preserve">Abergel A, Fliss D, Margalit N, Gil Z. A Prospective Evaluation of Short-Term Health-Related Quality of Life in Patients Undergoing Anterior Skull Base Surgery. </w:t>
      </w:r>
      <w:r w:rsidRPr="00943DE9">
        <w:rPr>
          <w:i/>
          <w:iCs/>
          <w:color w:val="000000"/>
          <w:sz w:val="20"/>
        </w:rPr>
        <w:t>Skull Base</w:t>
      </w:r>
      <w:r w:rsidRPr="00943DE9">
        <w:rPr>
          <w:color w:val="000000"/>
          <w:sz w:val="20"/>
        </w:rPr>
        <w:t>. 2010;20(01):027-033. doi:10.1055/s-0029-1242982</w:t>
      </w:r>
    </w:p>
    <w:p w14:paraId="390BD329" w14:textId="77777777" w:rsidR="00943DE9" w:rsidRPr="00943DE9" w:rsidRDefault="00943DE9" w:rsidP="00943DE9">
      <w:pPr>
        <w:pStyle w:val="Bibliography"/>
        <w:rPr>
          <w:color w:val="000000"/>
          <w:sz w:val="20"/>
        </w:rPr>
      </w:pPr>
      <w:r w:rsidRPr="00943DE9">
        <w:rPr>
          <w:color w:val="000000"/>
          <w:sz w:val="20"/>
        </w:rPr>
        <w:t>18.</w:t>
      </w:r>
      <w:r w:rsidRPr="00943DE9">
        <w:rPr>
          <w:color w:val="000000"/>
          <w:sz w:val="20"/>
        </w:rPr>
        <w:tab/>
        <w:t xml:space="preserve">Fisher FL, Zamanipoor Najafabadi AH, van der Meer PB, et al. Long-term health-related quality of life and neurocognitive functioning after treatment in skull base meningioma patients. </w:t>
      </w:r>
      <w:r w:rsidRPr="00943DE9">
        <w:rPr>
          <w:i/>
          <w:iCs/>
          <w:color w:val="000000"/>
          <w:sz w:val="20"/>
        </w:rPr>
        <w:t>J Neurosurg</w:t>
      </w:r>
      <w:r w:rsidRPr="00943DE9">
        <w:rPr>
          <w:color w:val="000000"/>
          <w:sz w:val="20"/>
        </w:rPr>
        <w:t>. 2022;136(4):1077-1089. doi:10.3171/2021.4.JNS203891</w:t>
      </w:r>
    </w:p>
    <w:p w14:paraId="15B08D3C" w14:textId="77777777" w:rsidR="00943DE9" w:rsidRPr="00943DE9" w:rsidRDefault="00943DE9" w:rsidP="00943DE9">
      <w:pPr>
        <w:pStyle w:val="Bibliography"/>
        <w:rPr>
          <w:color w:val="000000"/>
          <w:sz w:val="20"/>
        </w:rPr>
      </w:pPr>
      <w:r w:rsidRPr="00943DE9">
        <w:rPr>
          <w:color w:val="000000"/>
          <w:sz w:val="20"/>
        </w:rPr>
        <w:t>19.</w:t>
      </w:r>
      <w:r w:rsidRPr="00943DE9">
        <w:rPr>
          <w:color w:val="000000"/>
          <w:sz w:val="20"/>
        </w:rPr>
        <w:tab/>
        <w:t xml:space="preserve">Hastie T, Tibshirani R, Friedman J. </w:t>
      </w:r>
      <w:r w:rsidRPr="00943DE9">
        <w:rPr>
          <w:i/>
          <w:iCs/>
          <w:color w:val="000000"/>
          <w:sz w:val="20"/>
        </w:rPr>
        <w:t>The Elements of Statistical Learning</w:t>
      </w:r>
      <w:r w:rsidRPr="00943DE9">
        <w:rPr>
          <w:color w:val="000000"/>
          <w:sz w:val="20"/>
        </w:rPr>
        <w:t>. Springer New York; 2009. doi:10.1007/978-0-387-84858-7</w:t>
      </w:r>
    </w:p>
    <w:p w14:paraId="3126F942" w14:textId="77777777" w:rsidR="00943DE9" w:rsidRPr="00943DE9" w:rsidRDefault="00943DE9" w:rsidP="00943DE9">
      <w:pPr>
        <w:pStyle w:val="Bibliography"/>
        <w:rPr>
          <w:color w:val="000000"/>
          <w:sz w:val="20"/>
        </w:rPr>
      </w:pPr>
      <w:r w:rsidRPr="00943DE9">
        <w:rPr>
          <w:color w:val="000000"/>
          <w:sz w:val="20"/>
        </w:rPr>
        <w:t>20.</w:t>
      </w:r>
      <w:r w:rsidRPr="00943DE9">
        <w:rPr>
          <w:color w:val="000000"/>
          <w:sz w:val="20"/>
        </w:rPr>
        <w:tab/>
        <w:t xml:space="preserve">Obermeyer Z, Emanuel EJ. Predicting the Future - Big Data, Machine Learning, and Clinical Medicine. </w:t>
      </w:r>
      <w:r w:rsidRPr="00943DE9">
        <w:rPr>
          <w:i/>
          <w:iCs/>
          <w:color w:val="000000"/>
          <w:sz w:val="20"/>
        </w:rPr>
        <w:t>N Engl J Med</w:t>
      </w:r>
      <w:r w:rsidRPr="00943DE9">
        <w:rPr>
          <w:color w:val="000000"/>
          <w:sz w:val="20"/>
        </w:rPr>
        <w:t>. 2016;375(13):1216-1219. doi:10.1056/NEJMp1606181</w:t>
      </w:r>
    </w:p>
    <w:p w14:paraId="3F35373D" w14:textId="77777777" w:rsidR="00943DE9" w:rsidRPr="00943DE9" w:rsidRDefault="00943DE9" w:rsidP="00943DE9">
      <w:pPr>
        <w:pStyle w:val="Bibliography"/>
        <w:rPr>
          <w:color w:val="000000"/>
          <w:sz w:val="20"/>
        </w:rPr>
      </w:pPr>
      <w:r w:rsidRPr="00943DE9">
        <w:rPr>
          <w:color w:val="000000"/>
          <w:sz w:val="20"/>
        </w:rPr>
        <w:t>21.</w:t>
      </w:r>
      <w:r w:rsidRPr="00943DE9">
        <w:rPr>
          <w:color w:val="000000"/>
          <w:sz w:val="20"/>
        </w:rPr>
        <w:tab/>
        <w:t xml:space="preserve">Jimenez AE, Porras JL, Azad TD, et al. Machine Learning Models for Predicting Postoperative Outcomes following Skull Base Meningioma Surgery. </w:t>
      </w:r>
      <w:r w:rsidRPr="00943DE9">
        <w:rPr>
          <w:i/>
          <w:iCs/>
          <w:color w:val="000000"/>
          <w:sz w:val="20"/>
        </w:rPr>
        <w:t>J Neurol Surg B Skull Base</w:t>
      </w:r>
      <w:r w:rsidRPr="00943DE9">
        <w:rPr>
          <w:color w:val="000000"/>
          <w:sz w:val="20"/>
        </w:rPr>
        <w:t>. 2022;83(6):635-645. doi:10.1055/a-1885-1447</w:t>
      </w:r>
    </w:p>
    <w:p w14:paraId="7794E5F7" w14:textId="77777777" w:rsidR="00943DE9" w:rsidRPr="00943DE9" w:rsidRDefault="00943DE9" w:rsidP="00943DE9">
      <w:pPr>
        <w:pStyle w:val="Bibliography"/>
        <w:rPr>
          <w:color w:val="000000"/>
          <w:sz w:val="20"/>
        </w:rPr>
      </w:pPr>
      <w:r w:rsidRPr="00943DE9">
        <w:rPr>
          <w:color w:val="000000"/>
          <w:sz w:val="20"/>
        </w:rPr>
        <w:t>22.</w:t>
      </w:r>
      <w:r w:rsidRPr="00943DE9">
        <w:rPr>
          <w:color w:val="000000"/>
          <w:sz w:val="20"/>
        </w:rPr>
        <w:tab/>
        <w:t xml:space="preserve">Daabiss M. American Society of Anaesthesiologists physical status classification. </w:t>
      </w:r>
      <w:r w:rsidRPr="00943DE9">
        <w:rPr>
          <w:i/>
          <w:iCs/>
          <w:color w:val="000000"/>
          <w:sz w:val="20"/>
        </w:rPr>
        <w:t>Indian J Anaesth</w:t>
      </w:r>
      <w:r w:rsidRPr="00943DE9">
        <w:rPr>
          <w:color w:val="000000"/>
          <w:sz w:val="20"/>
        </w:rPr>
        <w:t>. 2011;55(2):111-115. doi:10.4103/0019-5049.79879</w:t>
      </w:r>
    </w:p>
    <w:p w14:paraId="26472786" w14:textId="77777777" w:rsidR="00943DE9" w:rsidRPr="00943DE9" w:rsidRDefault="00943DE9" w:rsidP="00943DE9">
      <w:pPr>
        <w:pStyle w:val="Bibliography"/>
        <w:rPr>
          <w:color w:val="000000"/>
          <w:sz w:val="20"/>
        </w:rPr>
      </w:pPr>
      <w:r w:rsidRPr="00943DE9">
        <w:rPr>
          <w:color w:val="000000"/>
          <w:sz w:val="20"/>
        </w:rPr>
        <w:t>23.</w:t>
      </w:r>
      <w:r w:rsidRPr="00943DE9">
        <w:rPr>
          <w:color w:val="000000"/>
          <w:sz w:val="20"/>
        </w:rPr>
        <w:tab/>
        <w:t xml:space="preserve">Karnofsky DA, Abelmann WH, Craver LF, Burchenal JH. The use of the nitrogen mustards in the palliative treatment of carcinoma. With particular reference to bronchogenic carcinoma. </w:t>
      </w:r>
      <w:r w:rsidRPr="00943DE9">
        <w:rPr>
          <w:i/>
          <w:iCs/>
          <w:color w:val="000000"/>
          <w:sz w:val="20"/>
        </w:rPr>
        <w:t>Cancer</w:t>
      </w:r>
      <w:r w:rsidRPr="00943DE9">
        <w:rPr>
          <w:color w:val="000000"/>
          <w:sz w:val="20"/>
        </w:rPr>
        <w:t>. 1948;1(4):634-656. doi:10.1002/1097-0142(194811)1:4%3C634::AID-CNCR2820010410%3E3.0.CO;2-L</w:t>
      </w:r>
    </w:p>
    <w:p w14:paraId="12C3FDA6" w14:textId="77777777" w:rsidR="00943DE9" w:rsidRPr="00943DE9" w:rsidRDefault="00943DE9" w:rsidP="00943DE9">
      <w:pPr>
        <w:pStyle w:val="Bibliography"/>
        <w:rPr>
          <w:color w:val="000000"/>
          <w:sz w:val="20"/>
        </w:rPr>
      </w:pPr>
      <w:r w:rsidRPr="00943DE9">
        <w:rPr>
          <w:color w:val="000000"/>
          <w:sz w:val="20"/>
        </w:rPr>
        <w:lastRenderedPageBreak/>
        <w:t>24.</w:t>
      </w:r>
      <w:r w:rsidRPr="00943DE9">
        <w:rPr>
          <w:color w:val="000000"/>
          <w:sz w:val="20"/>
        </w:rPr>
        <w:tab/>
        <w:t xml:space="preserve">Torp SH, Solheim O, Skjulsvik AJ. The WHO 2021 Classification of Central Nervous System tumours: a practical update on what neurosurgeons need to know-a minireview. </w:t>
      </w:r>
      <w:r w:rsidRPr="00943DE9">
        <w:rPr>
          <w:i/>
          <w:iCs/>
          <w:color w:val="000000"/>
          <w:sz w:val="20"/>
        </w:rPr>
        <w:t>Acta Neurochir (Wien)</w:t>
      </w:r>
      <w:r w:rsidRPr="00943DE9">
        <w:rPr>
          <w:color w:val="000000"/>
          <w:sz w:val="20"/>
        </w:rPr>
        <w:t>. 2022;164(9):2453-2464. doi:10.1007/s00701-022-05301-y</w:t>
      </w:r>
    </w:p>
    <w:p w14:paraId="03E6851A" w14:textId="77777777" w:rsidR="00943DE9" w:rsidRPr="00943DE9" w:rsidRDefault="00943DE9" w:rsidP="00943DE9">
      <w:pPr>
        <w:pStyle w:val="Bibliography"/>
        <w:rPr>
          <w:color w:val="000000"/>
          <w:sz w:val="20"/>
        </w:rPr>
      </w:pPr>
      <w:r w:rsidRPr="00943DE9">
        <w:rPr>
          <w:color w:val="000000"/>
          <w:sz w:val="20"/>
        </w:rPr>
        <w:t>25.</w:t>
      </w:r>
      <w:r w:rsidRPr="00943DE9">
        <w:rPr>
          <w:color w:val="000000"/>
          <w:sz w:val="20"/>
        </w:rPr>
        <w:tab/>
        <w:t xml:space="preserve">Collins GS, Moons KGM, Dhiman P, et al. TRIPOD+AI statement: updated guidance for reporting clinical prediction models that use regression or machine learning methods. </w:t>
      </w:r>
      <w:r w:rsidRPr="00943DE9">
        <w:rPr>
          <w:i/>
          <w:iCs/>
          <w:color w:val="000000"/>
          <w:sz w:val="20"/>
        </w:rPr>
        <w:t>BMJ</w:t>
      </w:r>
      <w:r w:rsidRPr="00943DE9">
        <w:rPr>
          <w:color w:val="000000"/>
          <w:sz w:val="20"/>
        </w:rPr>
        <w:t>. Published online April 16, 2024:e078378. doi:10.1136/bmj-2023-078378</w:t>
      </w:r>
    </w:p>
    <w:p w14:paraId="3D8CE7F9" w14:textId="77777777" w:rsidR="00943DE9" w:rsidRPr="00943DE9" w:rsidRDefault="00943DE9" w:rsidP="00943DE9">
      <w:pPr>
        <w:pStyle w:val="Bibliography"/>
        <w:rPr>
          <w:color w:val="000000"/>
          <w:sz w:val="20"/>
        </w:rPr>
      </w:pPr>
      <w:r w:rsidRPr="00943DE9">
        <w:rPr>
          <w:color w:val="000000"/>
          <w:sz w:val="20"/>
        </w:rPr>
        <w:t>26.</w:t>
      </w:r>
      <w:r w:rsidRPr="00943DE9">
        <w:rPr>
          <w:color w:val="000000"/>
          <w:sz w:val="20"/>
        </w:rPr>
        <w:tab/>
        <w:t xml:space="preserve">Bottou L. Large-Scale Machine Learning with Stochastic Gradient Descent. In: Lechevallier Y, Saporta G, eds. </w:t>
      </w:r>
      <w:r w:rsidRPr="00943DE9">
        <w:rPr>
          <w:i/>
          <w:iCs/>
          <w:color w:val="000000"/>
          <w:sz w:val="20"/>
        </w:rPr>
        <w:t>Proceedings of COMPSTAT’2010</w:t>
      </w:r>
      <w:r w:rsidRPr="00943DE9">
        <w:rPr>
          <w:color w:val="000000"/>
          <w:sz w:val="20"/>
        </w:rPr>
        <w:t>. Physica-Verlag HD; 2010:177-186. doi:10.1007/978-3-7908-2604-3_16</w:t>
      </w:r>
    </w:p>
    <w:p w14:paraId="61AC17C4" w14:textId="77777777" w:rsidR="00943DE9" w:rsidRPr="00943DE9" w:rsidRDefault="00943DE9" w:rsidP="00943DE9">
      <w:pPr>
        <w:pStyle w:val="Bibliography"/>
        <w:rPr>
          <w:color w:val="000000"/>
          <w:sz w:val="20"/>
        </w:rPr>
      </w:pPr>
      <w:r w:rsidRPr="00B4041F">
        <w:rPr>
          <w:color w:val="000000"/>
          <w:sz w:val="20"/>
          <w:lang w:val="it-IT"/>
        </w:rPr>
        <w:t>27.</w:t>
      </w:r>
      <w:r w:rsidRPr="00B4041F">
        <w:rPr>
          <w:color w:val="000000"/>
          <w:sz w:val="20"/>
          <w:lang w:val="it-IT"/>
        </w:rPr>
        <w:tab/>
        <w:t xml:space="preserve">Kolakshyapati M, Ikawa F, Abiko M, et al. </w:t>
      </w:r>
      <w:r w:rsidRPr="00943DE9">
        <w:rPr>
          <w:color w:val="000000"/>
          <w:sz w:val="20"/>
        </w:rPr>
        <w:t xml:space="preserve">Multivariate risk factor analysis and literature review of postoperative deterioration in Karnofsky Performance Scale score in elderly patients with skull base meningioma. </w:t>
      </w:r>
      <w:r w:rsidRPr="00943DE9">
        <w:rPr>
          <w:i/>
          <w:iCs/>
          <w:color w:val="000000"/>
          <w:sz w:val="20"/>
        </w:rPr>
        <w:t>Neurosurgical Focus</w:t>
      </w:r>
      <w:r w:rsidRPr="00943DE9">
        <w:rPr>
          <w:color w:val="000000"/>
          <w:sz w:val="20"/>
        </w:rPr>
        <w:t>. 2018;44(4):E14. doi:10.3171/2018.1.focus17730</w:t>
      </w:r>
    </w:p>
    <w:p w14:paraId="2218B204" w14:textId="77777777" w:rsidR="00943DE9" w:rsidRPr="00943DE9" w:rsidRDefault="00943DE9" w:rsidP="00943DE9">
      <w:pPr>
        <w:pStyle w:val="Bibliography"/>
        <w:rPr>
          <w:color w:val="000000"/>
          <w:sz w:val="20"/>
        </w:rPr>
      </w:pPr>
      <w:r w:rsidRPr="00943DE9">
        <w:rPr>
          <w:color w:val="000000"/>
          <w:sz w:val="20"/>
        </w:rPr>
        <w:t>28.</w:t>
      </w:r>
      <w:r w:rsidRPr="00943DE9">
        <w:rPr>
          <w:color w:val="000000"/>
          <w:sz w:val="20"/>
        </w:rPr>
        <w:tab/>
        <w:t xml:space="preserve">Zweckberger K, Hallek E, Vogt L, Giese H, Schick U, Unterberg AW. Prospective analysis of neuropsychological deficits following resection of benign skull base meningiomas. </w:t>
      </w:r>
      <w:r w:rsidRPr="00943DE9">
        <w:rPr>
          <w:i/>
          <w:iCs/>
          <w:color w:val="000000"/>
          <w:sz w:val="20"/>
        </w:rPr>
        <w:t>Journal of Neurosurgery</w:t>
      </w:r>
      <w:r w:rsidRPr="00943DE9">
        <w:rPr>
          <w:color w:val="000000"/>
          <w:sz w:val="20"/>
        </w:rPr>
        <w:t>. 2017;127(6):1242-1248. doi:10.3171/2016.10.jns161936</w:t>
      </w:r>
    </w:p>
    <w:p w14:paraId="287207F0" w14:textId="77777777" w:rsidR="00943DE9" w:rsidRPr="00943DE9" w:rsidRDefault="00943DE9" w:rsidP="00943DE9">
      <w:pPr>
        <w:pStyle w:val="Bibliography"/>
        <w:rPr>
          <w:color w:val="000000"/>
          <w:sz w:val="20"/>
        </w:rPr>
      </w:pPr>
      <w:r w:rsidRPr="00943DE9">
        <w:rPr>
          <w:color w:val="000000"/>
          <w:sz w:val="20"/>
        </w:rPr>
        <w:t>29.</w:t>
      </w:r>
      <w:r w:rsidRPr="00943DE9">
        <w:rPr>
          <w:color w:val="000000"/>
          <w:sz w:val="20"/>
        </w:rPr>
        <w:tab/>
        <w:t xml:space="preserve">Bartek J Jr, Sjåvik K, Förander P, et al. Predictors of Severe Complications in Intracranial Meningioma Surgery: A Population-Based Multicenter Study. </w:t>
      </w:r>
      <w:r w:rsidRPr="00943DE9">
        <w:rPr>
          <w:i/>
          <w:iCs/>
          <w:color w:val="000000"/>
          <w:sz w:val="20"/>
        </w:rPr>
        <w:t>World Neurosurgery</w:t>
      </w:r>
      <w:r w:rsidRPr="00943DE9">
        <w:rPr>
          <w:color w:val="000000"/>
          <w:sz w:val="20"/>
        </w:rPr>
        <w:t>. 2015;83(5):673-678. doi:10.1016/j.wneu.2015.01.022</w:t>
      </w:r>
    </w:p>
    <w:p w14:paraId="39A75CC7" w14:textId="77777777" w:rsidR="00943DE9" w:rsidRPr="00943DE9" w:rsidRDefault="00943DE9" w:rsidP="00943DE9">
      <w:pPr>
        <w:pStyle w:val="Bibliography"/>
        <w:rPr>
          <w:color w:val="000000"/>
          <w:sz w:val="20"/>
        </w:rPr>
      </w:pPr>
      <w:r w:rsidRPr="00943DE9">
        <w:rPr>
          <w:color w:val="000000"/>
          <w:sz w:val="20"/>
        </w:rPr>
        <w:t>30.</w:t>
      </w:r>
      <w:r w:rsidRPr="00943DE9">
        <w:rPr>
          <w:color w:val="000000"/>
          <w:sz w:val="20"/>
        </w:rPr>
        <w:tab/>
        <w:t xml:space="preserve">Zeng L, Wang L, Ye F, Chen J, Lei T, Chen J. Clinical characteristics of patients with asymptomatic intracranial meningiomas and results of their surgical management. </w:t>
      </w:r>
      <w:r w:rsidRPr="00943DE9">
        <w:rPr>
          <w:i/>
          <w:iCs/>
          <w:color w:val="000000"/>
          <w:sz w:val="20"/>
        </w:rPr>
        <w:t>Neurosurg Rev</w:t>
      </w:r>
      <w:r w:rsidRPr="00943DE9">
        <w:rPr>
          <w:color w:val="000000"/>
          <w:sz w:val="20"/>
        </w:rPr>
        <w:t>. 2015;38(3):481-488. doi:10.1007/s10143-015-0619-1</w:t>
      </w:r>
    </w:p>
    <w:p w14:paraId="649F08EB" w14:textId="77777777" w:rsidR="00943DE9" w:rsidRPr="00943DE9" w:rsidRDefault="00943DE9" w:rsidP="00943DE9">
      <w:pPr>
        <w:pStyle w:val="Bibliography"/>
        <w:rPr>
          <w:color w:val="000000"/>
          <w:sz w:val="20"/>
        </w:rPr>
      </w:pPr>
      <w:r w:rsidRPr="00943DE9">
        <w:rPr>
          <w:color w:val="000000"/>
          <w:sz w:val="20"/>
        </w:rPr>
        <w:t>31.</w:t>
      </w:r>
      <w:r w:rsidRPr="00943DE9">
        <w:rPr>
          <w:color w:val="000000"/>
          <w:sz w:val="20"/>
        </w:rPr>
        <w:tab/>
        <w:t xml:space="preserve">Meixensberger J, Meister T, Janka M, Haubitz B, Bushe KA, Roosen K. Factors Influencing Morbidity and Mortality After Cranial Meningioma Surgery — a Multivariate Analysis. In: Fahlbusch R, Bock WJ, Brock M, Buchfelder M, Klinger M, eds. </w:t>
      </w:r>
      <w:r w:rsidRPr="00943DE9">
        <w:rPr>
          <w:i/>
          <w:iCs/>
          <w:color w:val="000000"/>
          <w:sz w:val="20"/>
        </w:rPr>
        <w:t>Modern Neurosurgery of Meningiomas and Pituitary Adenomas</w:t>
      </w:r>
      <w:r w:rsidRPr="00943DE9">
        <w:rPr>
          <w:color w:val="000000"/>
          <w:sz w:val="20"/>
        </w:rPr>
        <w:t>. Springer Vienna; 1996:99-101. doi:10.1007/978-3-7091-9450-8_27</w:t>
      </w:r>
    </w:p>
    <w:p w14:paraId="44261C47" w14:textId="77777777" w:rsidR="00943DE9" w:rsidRPr="00943DE9" w:rsidRDefault="00943DE9" w:rsidP="00943DE9">
      <w:pPr>
        <w:pStyle w:val="Bibliography"/>
        <w:rPr>
          <w:color w:val="000000"/>
          <w:sz w:val="20"/>
        </w:rPr>
      </w:pPr>
      <w:r w:rsidRPr="00943DE9">
        <w:rPr>
          <w:color w:val="000000"/>
          <w:sz w:val="20"/>
        </w:rPr>
        <w:t>32.</w:t>
      </w:r>
      <w:r w:rsidRPr="00943DE9">
        <w:rPr>
          <w:color w:val="000000"/>
          <w:sz w:val="20"/>
        </w:rPr>
        <w:tab/>
        <w:t xml:space="preserve">Champeaux-Depond C, Weller J, Froelich S, Resche-Rigon M. A nationwide population-based study on overall survival after meningioma surgery. </w:t>
      </w:r>
      <w:r w:rsidRPr="00943DE9">
        <w:rPr>
          <w:i/>
          <w:iCs/>
          <w:color w:val="000000"/>
          <w:sz w:val="20"/>
        </w:rPr>
        <w:t>Cancer Epidemiology</w:t>
      </w:r>
      <w:r w:rsidRPr="00943DE9">
        <w:rPr>
          <w:color w:val="000000"/>
          <w:sz w:val="20"/>
        </w:rPr>
        <w:t>. 2021;70:101875. doi:10.1016/j.canep.2020.101875</w:t>
      </w:r>
    </w:p>
    <w:p w14:paraId="0517A1C5" w14:textId="77777777" w:rsidR="00943DE9" w:rsidRPr="00B4041F" w:rsidRDefault="00943DE9" w:rsidP="00943DE9">
      <w:pPr>
        <w:pStyle w:val="Bibliography"/>
        <w:rPr>
          <w:color w:val="000000"/>
          <w:sz w:val="20"/>
          <w:lang w:val="it-IT"/>
        </w:rPr>
      </w:pPr>
      <w:r w:rsidRPr="00943DE9">
        <w:rPr>
          <w:color w:val="000000"/>
          <w:sz w:val="20"/>
        </w:rPr>
        <w:t>33.</w:t>
      </w:r>
      <w:r w:rsidRPr="00943DE9">
        <w:rPr>
          <w:color w:val="000000"/>
          <w:sz w:val="20"/>
        </w:rPr>
        <w:tab/>
        <w:t xml:space="preserve">Levine ZT, Buchanan RI, Sekhar LN, Rosen CL, Wright DC. Proposed Grading System to Predict the Extent of Resection and Outcomes for Cranial Base Meningiomas. </w:t>
      </w:r>
      <w:r w:rsidRPr="00B4041F">
        <w:rPr>
          <w:i/>
          <w:iCs/>
          <w:color w:val="000000"/>
          <w:sz w:val="20"/>
          <w:lang w:val="it-IT"/>
        </w:rPr>
        <w:t>Neurosurgery</w:t>
      </w:r>
      <w:r w:rsidRPr="00B4041F">
        <w:rPr>
          <w:color w:val="000000"/>
          <w:sz w:val="20"/>
          <w:lang w:val="it-IT"/>
        </w:rPr>
        <w:t xml:space="preserve">. 1999;45(2):221-229. </w:t>
      </w:r>
      <w:proofErr w:type="gramStart"/>
      <w:r w:rsidRPr="00B4041F">
        <w:rPr>
          <w:color w:val="000000"/>
          <w:sz w:val="20"/>
          <w:lang w:val="it-IT"/>
        </w:rPr>
        <w:t>doi:10.1097</w:t>
      </w:r>
      <w:proofErr w:type="gramEnd"/>
      <w:r w:rsidRPr="00B4041F">
        <w:rPr>
          <w:color w:val="000000"/>
          <w:sz w:val="20"/>
          <w:lang w:val="it-IT"/>
        </w:rPr>
        <w:t>/00006123-199908000-00003</w:t>
      </w:r>
    </w:p>
    <w:p w14:paraId="76A5AB19" w14:textId="77777777" w:rsidR="00943DE9" w:rsidRPr="00943DE9" w:rsidRDefault="00943DE9" w:rsidP="00943DE9">
      <w:pPr>
        <w:pStyle w:val="Bibliography"/>
        <w:rPr>
          <w:color w:val="000000"/>
          <w:sz w:val="20"/>
        </w:rPr>
      </w:pPr>
      <w:r w:rsidRPr="00B4041F">
        <w:rPr>
          <w:color w:val="000000"/>
          <w:sz w:val="20"/>
          <w:lang w:val="it-IT"/>
        </w:rPr>
        <w:t>34.</w:t>
      </w:r>
      <w:r w:rsidRPr="00B4041F">
        <w:rPr>
          <w:color w:val="000000"/>
          <w:sz w:val="20"/>
          <w:lang w:val="it-IT"/>
        </w:rPr>
        <w:tab/>
        <w:t xml:space="preserve">Ferroli P, Broggi M, Schiavolin S, et al. </w:t>
      </w:r>
      <w:r w:rsidRPr="00943DE9">
        <w:rPr>
          <w:color w:val="000000"/>
          <w:sz w:val="20"/>
        </w:rPr>
        <w:t xml:space="preserve">Predicting functional impairment in brain tumor surgery: the Big Five and the Milan Complexity Scale. </w:t>
      </w:r>
      <w:r w:rsidRPr="00943DE9">
        <w:rPr>
          <w:i/>
          <w:iCs/>
          <w:color w:val="000000"/>
          <w:sz w:val="20"/>
        </w:rPr>
        <w:t>FOC</w:t>
      </w:r>
      <w:r w:rsidRPr="00943DE9">
        <w:rPr>
          <w:color w:val="000000"/>
          <w:sz w:val="20"/>
        </w:rPr>
        <w:t>. 2015;39(6):E14. doi:10.3171/2015.9.FOCUS15339</w:t>
      </w:r>
    </w:p>
    <w:p w14:paraId="4CA1E88D" w14:textId="77777777" w:rsidR="00943DE9" w:rsidRPr="00943DE9" w:rsidRDefault="00943DE9" w:rsidP="00943DE9">
      <w:pPr>
        <w:pStyle w:val="Bibliography"/>
        <w:rPr>
          <w:color w:val="000000"/>
          <w:sz w:val="20"/>
        </w:rPr>
      </w:pPr>
      <w:r w:rsidRPr="00943DE9">
        <w:rPr>
          <w:color w:val="000000"/>
          <w:sz w:val="20"/>
        </w:rPr>
        <w:t>35.</w:t>
      </w:r>
      <w:r w:rsidRPr="00943DE9">
        <w:rPr>
          <w:color w:val="000000"/>
          <w:sz w:val="20"/>
        </w:rPr>
        <w:tab/>
        <w:t xml:space="preserve">Adachi K, Kawase T, Yoshida K, Yazaki T, Onozuka S. ABC Surgical Risk Scale for skull base meningioma: a new scoring system for predicting the extent of tumor removal and neurological outcome: Clinical article. </w:t>
      </w:r>
      <w:r w:rsidRPr="00943DE9">
        <w:rPr>
          <w:i/>
          <w:iCs/>
          <w:color w:val="000000"/>
          <w:sz w:val="20"/>
        </w:rPr>
        <w:t>JNS</w:t>
      </w:r>
      <w:r w:rsidRPr="00943DE9">
        <w:rPr>
          <w:color w:val="000000"/>
          <w:sz w:val="20"/>
        </w:rPr>
        <w:t>. 2009;111(5):1053-1061. doi:10.3171/2007.11.17446</w:t>
      </w:r>
    </w:p>
    <w:p w14:paraId="7A633678" w14:textId="77777777" w:rsidR="00943DE9" w:rsidRPr="00943DE9" w:rsidRDefault="00943DE9" w:rsidP="00943DE9">
      <w:pPr>
        <w:pStyle w:val="Bibliography"/>
        <w:rPr>
          <w:color w:val="000000"/>
          <w:sz w:val="20"/>
        </w:rPr>
      </w:pPr>
      <w:r w:rsidRPr="00943DE9">
        <w:rPr>
          <w:color w:val="000000"/>
          <w:sz w:val="20"/>
        </w:rPr>
        <w:t>36.</w:t>
      </w:r>
      <w:r w:rsidRPr="00943DE9">
        <w:rPr>
          <w:color w:val="000000"/>
          <w:sz w:val="20"/>
        </w:rPr>
        <w:tab/>
        <w:t xml:space="preserve">Ouyang T, Zhang N, Wang L, Li Z, Chen J. Sphenoid wing meningiomas: Surgical strategies and evaluation of prognostic factors influencing clinical outcomes. </w:t>
      </w:r>
      <w:r w:rsidRPr="00943DE9">
        <w:rPr>
          <w:i/>
          <w:iCs/>
          <w:color w:val="000000"/>
          <w:sz w:val="20"/>
        </w:rPr>
        <w:t>Clinical Neurology and Neurosurgery</w:t>
      </w:r>
      <w:r w:rsidRPr="00943DE9">
        <w:rPr>
          <w:color w:val="000000"/>
          <w:sz w:val="20"/>
        </w:rPr>
        <w:t>. 2015;134:85-90. doi:10.1016/j.clineuro.2015.04.016</w:t>
      </w:r>
    </w:p>
    <w:p w14:paraId="4B2DA436" w14:textId="77777777" w:rsidR="00943DE9" w:rsidRPr="00943DE9" w:rsidRDefault="00943DE9" w:rsidP="00943DE9">
      <w:pPr>
        <w:pStyle w:val="Bibliography"/>
        <w:rPr>
          <w:color w:val="000000"/>
          <w:sz w:val="20"/>
        </w:rPr>
      </w:pPr>
      <w:r w:rsidRPr="00943DE9">
        <w:rPr>
          <w:color w:val="000000"/>
          <w:sz w:val="20"/>
        </w:rPr>
        <w:t>37.</w:t>
      </w:r>
      <w:r w:rsidRPr="00943DE9">
        <w:rPr>
          <w:color w:val="000000"/>
          <w:sz w:val="20"/>
        </w:rPr>
        <w:tab/>
        <w:t xml:space="preserve">Nguyen MP, Morshed RA, Cheung SW, Theodosopoulos PV, McDermott MW. Postoperative Complications and Neurological Deficits After Petroclival Region Meningioma Resection: A Case Series. </w:t>
      </w:r>
      <w:r w:rsidRPr="00943DE9">
        <w:rPr>
          <w:i/>
          <w:iCs/>
          <w:color w:val="000000"/>
          <w:sz w:val="20"/>
        </w:rPr>
        <w:t>Operative Neurosurgery</w:t>
      </w:r>
      <w:r w:rsidRPr="00943DE9">
        <w:rPr>
          <w:color w:val="000000"/>
          <w:sz w:val="20"/>
        </w:rPr>
        <w:t>. 2023;25(3):251-259. doi:10.1227/ons.0000000000000791</w:t>
      </w:r>
    </w:p>
    <w:p w14:paraId="310186CE" w14:textId="77777777" w:rsidR="00943DE9" w:rsidRPr="00943DE9" w:rsidRDefault="00943DE9" w:rsidP="00943DE9">
      <w:pPr>
        <w:pStyle w:val="Bibliography"/>
        <w:rPr>
          <w:color w:val="000000"/>
          <w:sz w:val="20"/>
          <w:lang w:val="it-IT"/>
        </w:rPr>
      </w:pPr>
      <w:r w:rsidRPr="00943DE9">
        <w:rPr>
          <w:color w:val="000000"/>
          <w:sz w:val="20"/>
        </w:rPr>
        <w:lastRenderedPageBreak/>
        <w:t>38.</w:t>
      </w:r>
      <w:r w:rsidRPr="00943DE9">
        <w:rPr>
          <w:color w:val="000000"/>
          <w:sz w:val="20"/>
        </w:rPr>
        <w:tab/>
        <w:t xml:space="preserve">Scheitzach J, Schebesch KM, Brawanski A, Proescholdt MA. Skull base meningiomas: neurological outcome after microsurgical resection. </w:t>
      </w:r>
      <w:r w:rsidRPr="00943DE9">
        <w:rPr>
          <w:i/>
          <w:iCs/>
          <w:color w:val="000000"/>
          <w:sz w:val="20"/>
          <w:lang w:val="it-IT"/>
        </w:rPr>
        <w:t>J Neurooncol</w:t>
      </w:r>
      <w:r w:rsidRPr="00943DE9">
        <w:rPr>
          <w:color w:val="000000"/>
          <w:sz w:val="20"/>
          <w:lang w:val="it-IT"/>
        </w:rPr>
        <w:t>. 2013;116(2):381-386. doi:10.1007/s11060-013-1309-x</w:t>
      </w:r>
    </w:p>
    <w:p w14:paraId="229D68DA" w14:textId="77777777" w:rsidR="00943DE9" w:rsidRPr="00943DE9" w:rsidRDefault="00943DE9" w:rsidP="00943DE9">
      <w:pPr>
        <w:pStyle w:val="Bibliography"/>
        <w:rPr>
          <w:color w:val="000000"/>
          <w:sz w:val="20"/>
        </w:rPr>
      </w:pPr>
      <w:r w:rsidRPr="00943DE9">
        <w:rPr>
          <w:color w:val="000000"/>
          <w:sz w:val="20"/>
          <w:lang w:val="it-IT"/>
        </w:rPr>
        <w:t>39.</w:t>
      </w:r>
      <w:r w:rsidRPr="00943DE9">
        <w:rPr>
          <w:color w:val="000000"/>
          <w:sz w:val="20"/>
          <w:lang w:val="it-IT"/>
        </w:rPr>
        <w:tab/>
        <w:t xml:space="preserve">Lemée JM, Corniola MV, Da Broi M, et al. </w:t>
      </w:r>
      <w:r w:rsidRPr="00943DE9">
        <w:rPr>
          <w:color w:val="000000"/>
          <w:sz w:val="20"/>
        </w:rPr>
        <w:t xml:space="preserve">Extent of Resection in Meningioma: Predictive Factors and Clinical Implications. </w:t>
      </w:r>
      <w:r w:rsidRPr="00943DE9">
        <w:rPr>
          <w:i/>
          <w:iCs/>
          <w:color w:val="000000"/>
          <w:sz w:val="20"/>
        </w:rPr>
        <w:t>Sci Rep</w:t>
      </w:r>
      <w:r w:rsidRPr="00943DE9">
        <w:rPr>
          <w:color w:val="000000"/>
          <w:sz w:val="20"/>
        </w:rPr>
        <w:t>. 2019;9(1). doi:10.1038/s41598-019-42451-z</w:t>
      </w:r>
    </w:p>
    <w:p w14:paraId="0BCC28C6" w14:textId="77777777" w:rsidR="00943DE9" w:rsidRPr="00943DE9" w:rsidRDefault="00943DE9" w:rsidP="00943DE9">
      <w:pPr>
        <w:pStyle w:val="Bibliography"/>
        <w:rPr>
          <w:color w:val="000000"/>
          <w:sz w:val="20"/>
        </w:rPr>
      </w:pPr>
      <w:r w:rsidRPr="00943DE9">
        <w:rPr>
          <w:color w:val="000000"/>
          <w:sz w:val="20"/>
        </w:rPr>
        <w:t>40.</w:t>
      </w:r>
      <w:r w:rsidRPr="00943DE9">
        <w:rPr>
          <w:color w:val="000000"/>
          <w:sz w:val="20"/>
        </w:rPr>
        <w:tab/>
        <w:t xml:space="preserve">Sankar A, Beattie WS, Wijeysundera DN. How can we identify the high-risk patient?: </w:t>
      </w:r>
      <w:r w:rsidRPr="00943DE9">
        <w:rPr>
          <w:i/>
          <w:iCs/>
          <w:color w:val="000000"/>
          <w:sz w:val="20"/>
        </w:rPr>
        <w:t>Current Opinion in Critical Care</w:t>
      </w:r>
      <w:r w:rsidRPr="00943DE9">
        <w:rPr>
          <w:color w:val="000000"/>
          <w:sz w:val="20"/>
        </w:rPr>
        <w:t>. 2015;21(4):328-335. doi:10.1097/MCC.0000000000000216</w:t>
      </w:r>
    </w:p>
    <w:p w14:paraId="426C5CDD" w14:textId="3244E289" w:rsidR="00AB700A" w:rsidRPr="00D244A5" w:rsidRDefault="007C5CEF" w:rsidP="00943DE9">
      <w:pPr>
        <w:pStyle w:val="Bibliography"/>
        <w:rPr>
          <w:color w:val="000000"/>
          <w:sz w:val="20"/>
          <w:szCs w:val="20"/>
        </w:rPr>
      </w:pPr>
      <w:r>
        <w:rPr>
          <w:color w:val="000000"/>
          <w:sz w:val="20"/>
          <w:szCs w:val="20"/>
        </w:rPr>
        <w:fldChar w:fldCharType="end"/>
      </w:r>
    </w:p>
    <w:p w14:paraId="52337428" w14:textId="77777777" w:rsidR="00AB700A" w:rsidRPr="00D244A5" w:rsidRDefault="00AB700A" w:rsidP="00F055D8">
      <w:pPr>
        <w:pBdr>
          <w:top w:val="nil"/>
          <w:left w:val="nil"/>
          <w:bottom w:val="nil"/>
          <w:right w:val="nil"/>
          <w:between w:val="nil"/>
        </w:pBdr>
        <w:tabs>
          <w:tab w:val="left" w:pos="500"/>
        </w:tabs>
        <w:spacing w:line="360" w:lineRule="auto"/>
        <w:ind w:left="504" w:hanging="504"/>
        <w:jc w:val="both"/>
        <w:rPr>
          <w:rFonts w:ascii="Palatino Linotype" w:eastAsia="Palatino Linotype" w:hAnsi="Palatino Linotype" w:cs="Palatino Linotype"/>
          <w:color w:val="000000"/>
          <w:sz w:val="20"/>
          <w:szCs w:val="20"/>
        </w:rPr>
      </w:pPr>
    </w:p>
    <w:p w14:paraId="5F24FDA6" w14:textId="53D3BDB2" w:rsidR="00AB700A" w:rsidRPr="00D244A5" w:rsidRDefault="00AB700A" w:rsidP="005B6523">
      <w:pPr>
        <w:rPr>
          <w:rFonts w:ascii="Palatino Linotype" w:eastAsia="Palatino Linotype" w:hAnsi="Palatino Linotype" w:cs="Palatino Linotype"/>
          <w:color w:val="000000"/>
          <w:sz w:val="20"/>
          <w:szCs w:val="20"/>
        </w:rPr>
      </w:pPr>
    </w:p>
    <w:sectPr w:rsidR="00AB700A" w:rsidRPr="00D244A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3A5FB" w14:textId="77777777" w:rsidR="00745A9E" w:rsidRDefault="00745A9E" w:rsidP="004C456C">
      <w:r>
        <w:separator/>
      </w:r>
    </w:p>
  </w:endnote>
  <w:endnote w:type="continuationSeparator" w:id="0">
    <w:p w14:paraId="6D29F2FE" w14:textId="77777777" w:rsidR="00745A9E" w:rsidRDefault="00745A9E" w:rsidP="004C4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A584B" w14:textId="77777777" w:rsidR="00745A9E" w:rsidRDefault="00745A9E" w:rsidP="004C456C">
      <w:r>
        <w:separator/>
      </w:r>
    </w:p>
  </w:footnote>
  <w:footnote w:type="continuationSeparator" w:id="0">
    <w:p w14:paraId="033D05C0" w14:textId="77777777" w:rsidR="00745A9E" w:rsidRDefault="00745A9E" w:rsidP="004C45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472"/>
    <w:multiLevelType w:val="hybridMultilevel"/>
    <w:tmpl w:val="E6561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23681"/>
    <w:multiLevelType w:val="multilevel"/>
    <w:tmpl w:val="7238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4336"/>
    <w:multiLevelType w:val="multilevel"/>
    <w:tmpl w:val="5474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A0D10"/>
    <w:multiLevelType w:val="multilevel"/>
    <w:tmpl w:val="8A964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C2708"/>
    <w:multiLevelType w:val="multilevel"/>
    <w:tmpl w:val="1104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A4C53"/>
    <w:multiLevelType w:val="multilevel"/>
    <w:tmpl w:val="AE52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43F87"/>
    <w:multiLevelType w:val="multilevel"/>
    <w:tmpl w:val="B1A6B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7113B"/>
    <w:multiLevelType w:val="multilevel"/>
    <w:tmpl w:val="5A68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93915"/>
    <w:multiLevelType w:val="hybridMultilevel"/>
    <w:tmpl w:val="A39AC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19693C"/>
    <w:multiLevelType w:val="multilevel"/>
    <w:tmpl w:val="C68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71557"/>
    <w:multiLevelType w:val="hybridMultilevel"/>
    <w:tmpl w:val="8EBE9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F0600"/>
    <w:multiLevelType w:val="multilevel"/>
    <w:tmpl w:val="CE7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81AE5"/>
    <w:multiLevelType w:val="hybridMultilevel"/>
    <w:tmpl w:val="CE5631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31E70F0"/>
    <w:multiLevelType w:val="multilevel"/>
    <w:tmpl w:val="AE52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996787"/>
    <w:multiLevelType w:val="multilevel"/>
    <w:tmpl w:val="43F46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BC460B"/>
    <w:multiLevelType w:val="multilevel"/>
    <w:tmpl w:val="C904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0C228E"/>
    <w:multiLevelType w:val="multilevel"/>
    <w:tmpl w:val="D7F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D3756"/>
    <w:multiLevelType w:val="multilevel"/>
    <w:tmpl w:val="264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F563D"/>
    <w:multiLevelType w:val="hybridMultilevel"/>
    <w:tmpl w:val="71229EA2"/>
    <w:lvl w:ilvl="0" w:tplc="48F404F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CE460F2"/>
    <w:multiLevelType w:val="multilevel"/>
    <w:tmpl w:val="F080D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FE3686"/>
    <w:multiLevelType w:val="hybridMultilevel"/>
    <w:tmpl w:val="B18A93BC"/>
    <w:lvl w:ilvl="0" w:tplc="B178E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3A6EC0"/>
    <w:multiLevelType w:val="multilevel"/>
    <w:tmpl w:val="1C7A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37772"/>
    <w:multiLevelType w:val="multilevel"/>
    <w:tmpl w:val="2202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7D372E"/>
    <w:multiLevelType w:val="hybridMultilevel"/>
    <w:tmpl w:val="17F6B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0D544D"/>
    <w:multiLevelType w:val="multilevel"/>
    <w:tmpl w:val="95A8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7F3DAA"/>
    <w:multiLevelType w:val="hybridMultilevel"/>
    <w:tmpl w:val="B5CCCAA8"/>
    <w:lvl w:ilvl="0" w:tplc="B178E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5D76E6"/>
    <w:multiLevelType w:val="hybridMultilevel"/>
    <w:tmpl w:val="523C18CE"/>
    <w:lvl w:ilvl="0" w:tplc="48F404F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593356"/>
    <w:multiLevelType w:val="multilevel"/>
    <w:tmpl w:val="31C8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0F5B48"/>
    <w:multiLevelType w:val="multilevel"/>
    <w:tmpl w:val="485C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AC349A"/>
    <w:multiLevelType w:val="hybridMultilevel"/>
    <w:tmpl w:val="6FC8E788"/>
    <w:lvl w:ilvl="0" w:tplc="E60C0048">
      <w:start w:val="1"/>
      <w:numFmt w:val="bullet"/>
      <w:lvlText w:val="•"/>
      <w:lvlJc w:val="left"/>
      <w:pPr>
        <w:tabs>
          <w:tab w:val="num" w:pos="720"/>
        </w:tabs>
        <w:ind w:left="720" w:hanging="360"/>
      </w:pPr>
      <w:rPr>
        <w:rFonts w:ascii="Arial" w:hAnsi="Arial" w:hint="default"/>
      </w:rPr>
    </w:lvl>
    <w:lvl w:ilvl="1" w:tplc="4878AB9A" w:tentative="1">
      <w:start w:val="1"/>
      <w:numFmt w:val="bullet"/>
      <w:lvlText w:val="•"/>
      <w:lvlJc w:val="left"/>
      <w:pPr>
        <w:tabs>
          <w:tab w:val="num" w:pos="1440"/>
        </w:tabs>
        <w:ind w:left="1440" w:hanging="360"/>
      </w:pPr>
      <w:rPr>
        <w:rFonts w:ascii="Arial" w:hAnsi="Arial" w:hint="default"/>
      </w:rPr>
    </w:lvl>
    <w:lvl w:ilvl="2" w:tplc="C0ECD8BA" w:tentative="1">
      <w:start w:val="1"/>
      <w:numFmt w:val="bullet"/>
      <w:lvlText w:val="•"/>
      <w:lvlJc w:val="left"/>
      <w:pPr>
        <w:tabs>
          <w:tab w:val="num" w:pos="2160"/>
        </w:tabs>
        <w:ind w:left="2160" w:hanging="360"/>
      </w:pPr>
      <w:rPr>
        <w:rFonts w:ascii="Arial" w:hAnsi="Arial" w:hint="default"/>
      </w:rPr>
    </w:lvl>
    <w:lvl w:ilvl="3" w:tplc="E4345092" w:tentative="1">
      <w:start w:val="1"/>
      <w:numFmt w:val="bullet"/>
      <w:lvlText w:val="•"/>
      <w:lvlJc w:val="left"/>
      <w:pPr>
        <w:tabs>
          <w:tab w:val="num" w:pos="2880"/>
        </w:tabs>
        <w:ind w:left="2880" w:hanging="360"/>
      </w:pPr>
      <w:rPr>
        <w:rFonts w:ascii="Arial" w:hAnsi="Arial" w:hint="default"/>
      </w:rPr>
    </w:lvl>
    <w:lvl w:ilvl="4" w:tplc="70B6725A" w:tentative="1">
      <w:start w:val="1"/>
      <w:numFmt w:val="bullet"/>
      <w:lvlText w:val="•"/>
      <w:lvlJc w:val="left"/>
      <w:pPr>
        <w:tabs>
          <w:tab w:val="num" w:pos="3600"/>
        </w:tabs>
        <w:ind w:left="3600" w:hanging="360"/>
      </w:pPr>
      <w:rPr>
        <w:rFonts w:ascii="Arial" w:hAnsi="Arial" w:hint="default"/>
      </w:rPr>
    </w:lvl>
    <w:lvl w:ilvl="5" w:tplc="49D876BC" w:tentative="1">
      <w:start w:val="1"/>
      <w:numFmt w:val="bullet"/>
      <w:lvlText w:val="•"/>
      <w:lvlJc w:val="left"/>
      <w:pPr>
        <w:tabs>
          <w:tab w:val="num" w:pos="4320"/>
        </w:tabs>
        <w:ind w:left="4320" w:hanging="360"/>
      </w:pPr>
      <w:rPr>
        <w:rFonts w:ascii="Arial" w:hAnsi="Arial" w:hint="default"/>
      </w:rPr>
    </w:lvl>
    <w:lvl w:ilvl="6" w:tplc="ADF2B528" w:tentative="1">
      <w:start w:val="1"/>
      <w:numFmt w:val="bullet"/>
      <w:lvlText w:val="•"/>
      <w:lvlJc w:val="left"/>
      <w:pPr>
        <w:tabs>
          <w:tab w:val="num" w:pos="5040"/>
        </w:tabs>
        <w:ind w:left="5040" w:hanging="360"/>
      </w:pPr>
      <w:rPr>
        <w:rFonts w:ascii="Arial" w:hAnsi="Arial" w:hint="default"/>
      </w:rPr>
    </w:lvl>
    <w:lvl w:ilvl="7" w:tplc="556ED68A" w:tentative="1">
      <w:start w:val="1"/>
      <w:numFmt w:val="bullet"/>
      <w:lvlText w:val="•"/>
      <w:lvlJc w:val="left"/>
      <w:pPr>
        <w:tabs>
          <w:tab w:val="num" w:pos="5760"/>
        </w:tabs>
        <w:ind w:left="5760" w:hanging="360"/>
      </w:pPr>
      <w:rPr>
        <w:rFonts w:ascii="Arial" w:hAnsi="Arial" w:hint="default"/>
      </w:rPr>
    </w:lvl>
    <w:lvl w:ilvl="8" w:tplc="10BA256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3F70C25"/>
    <w:multiLevelType w:val="multilevel"/>
    <w:tmpl w:val="24FA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E216F1"/>
    <w:multiLevelType w:val="multilevel"/>
    <w:tmpl w:val="91A4D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6909C9"/>
    <w:multiLevelType w:val="hybridMultilevel"/>
    <w:tmpl w:val="2B6C1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3067B5"/>
    <w:multiLevelType w:val="hybridMultilevel"/>
    <w:tmpl w:val="BD340A42"/>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846E0E"/>
    <w:multiLevelType w:val="multilevel"/>
    <w:tmpl w:val="AE1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C1039B"/>
    <w:multiLevelType w:val="hybridMultilevel"/>
    <w:tmpl w:val="080E4384"/>
    <w:lvl w:ilvl="0" w:tplc="B178E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4F67D7"/>
    <w:multiLevelType w:val="multilevel"/>
    <w:tmpl w:val="EA50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6F14CA"/>
    <w:multiLevelType w:val="hybridMultilevel"/>
    <w:tmpl w:val="93BC2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0662971"/>
    <w:multiLevelType w:val="hybridMultilevel"/>
    <w:tmpl w:val="46BC05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123845"/>
    <w:multiLevelType w:val="multilevel"/>
    <w:tmpl w:val="FE3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573295"/>
    <w:multiLevelType w:val="multilevel"/>
    <w:tmpl w:val="78E8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3F691B"/>
    <w:multiLevelType w:val="multilevel"/>
    <w:tmpl w:val="E67CD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2A1FB0"/>
    <w:multiLevelType w:val="multilevel"/>
    <w:tmpl w:val="A24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F4686C"/>
    <w:multiLevelType w:val="hybridMultilevel"/>
    <w:tmpl w:val="8EBE96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46E1893"/>
    <w:multiLevelType w:val="multilevel"/>
    <w:tmpl w:val="D8D0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BA278B"/>
    <w:multiLevelType w:val="multilevel"/>
    <w:tmpl w:val="873E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4C1CBE"/>
    <w:multiLevelType w:val="multilevel"/>
    <w:tmpl w:val="CBA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8E1EFB"/>
    <w:multiLevelType w:val="multilevel"/>
    <w:tmpl w:val="7CD800D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D393CA0"/>
    <w:multiLevelType w:val="multilevel"/>
    <w:tmpl w:val="1E2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BB7809"/>
    <w:multiLevelType w:val="multilevel"/>
    <w:tmpl w:val="62A8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629498">
    <w:abstractNumId w:val="31"/>
  </w:num>
  <w:num w:numId="2" w16cid:durableId="72942078">
    <w:abstractNumId w:val="2"/>
  </w:num>
  <w:num w:numId="3" w16cid:durableId="45883946">
    <w:abstractNumId w:val="15"/>
  </w:num>
  <w:num w:numId="4" w16cid:durableId="844902803">
    <w:abstractNumId w:val="39"/>
  </w:num>
  <w:num w:numId="5" w16cid:durableId="1578707893">
    <w:abstractNumId w:val="1"/>
  </w:num>
  <w:num w:numId="6" w16cid:durableId="68042735">
    <w:abstractNumId w:val="6"/>
  </w:num>
  <w:num w:numId="7" w16cid:durableId="1066951477">
    <w:abstractNumId w:val="23"/>
  </w:num>
  <w:num w:numId="8" w16cid:durableId="724069070">
    <w:abstractNumId w:val="18"/>
  </w:num>
  <w:num w:numId="9" w16cid:durableId="827938482">
    <w:abstractNumId w:val="42"/>
  </w:num>
  <w:num w:numId="10" w16cid:durableId="617302062">
    <w:abstractNumId w:val="7"/>
  </w:num>
  <w:num w:numId="11" w16cid:durableId="1249658474">
    <w:abstractNumId w:val="4"/>
  </w:num>
  <w:num w:numId="12" w16cid:durableId="1208496412">
    <w:abstractNumId w:val="28"/>
  </w:num>
  <w:num w:numId="13" w16cid:durableId="90051949">
    <w:abstractNumId w:val="16"/>
  </w:num>
  <w:num w:numId="14" w16cid:durableId="483665441">
    <w:abstractNumId w:val="9"/>
  </w:num>
  <w:num w:numId="15" w16cid:durableId="849877704">
    <w:abstractNumId w:val="46"/>
  </w:num>
  <w:num w:numId="16" w16cid:durableId="1900243257">
    <w:abstractNumId w:val="36"/>
  </w:num>
  <w:num w:numId="17" w16cid:durableId="869876447">
    <w:abstractNumId w:val="44"/>
  </w:num>
  <w:num w:numId="18" w16cid:durableId="2085370027">
    <w:abstractNumId w:val="17"/>
  </w:num>
  <w:num w:numId="19" w16cid:durableId="1735660426">
    <w:abstractNumId w:val="22"/>
  </w:num>
  <w:num w:numId="20" w16cid:durableId="1767919753">
    <w:abstractNumId w:val="27"/>
  </w:num>
  <w:num w:numId="21" w16cid:durableId="1895459471">
    <w:abstractNumId w:val="45"/>
  </w:num>
  <w:num w:numId="22" w16cid:durableId="645859150">
    <w:abstractNumId w:val="30"/>
  </w:num>
  <w:num w:numId="23" w16cid:durableId="1487817745">
    <w:abstractNumId w:val="40"/>
  </w:num>
  <w:num w:numId="24" w16cid:durableId="2120368578">
    <w:abstractNumId w:val="48"/>
  </w:num>
  <w:num w:numId="25" w16cid:durableId="590898496">
    <w:abstractNumId w:val="49"/>
  </w:num>
  <w:num w:numId="26" w16cid:durableId="140730088">
    <w:abstractNumId w:val="26"/>
  </w:num>
  <w:num w:numId="27" w16cid:durableId="626472088">
    <w:abstractNumId w:val="25"/>
  </w:num>
  <w:num w:numId="28" w16cid:durableId="900411743">
    <w:abstractNumId w:val="35"/>
  </w:num>
  <w:num w:numId="29" w16cid:durableId="1310328100">
    <w:abstractNumId w:val="20"/>
  </w:num>
  <w:num w:numId="30" w16cid:durableId="204611052">
    <w:abstractNumId w:val="12"/>
  </w:num>
  <w:num w:numId="31" w16cid:durableId="1813018300">
    <w:abstractNumId w:val="24"/>
  </w:num>
  <w:num w:numId="32" w16cid:durableId="2094154959">
    <w:abstractNumId w:val="34"/>
  </w:num>
  <w:num w:numId="33" w16cid:durableId="642734824">
    <w:abstractNumId w:val="37"/>
  </w:num>
  <w:num w:numId="34" w16cid:durableId="303312352">
    <w:abstractNumId w:val="29"/>
  </w:num>
  <w:num w:numId="35" w16cid:durableId="2143116187">
    <w:abstractNumId w:val="41"/>
  </w:num>
  <w:num w:numId="36" w16cid:durableId="1469394658">
    <w:abstractNumId w:val="19"/>
  </w:num>
  <w:num w:numId="37" w16cid:durableId="925919253">
    <w:abstractNumId w:val="5"/>
  </w:num>
  <w:num w:numId="38" w16cid:durableId="952788614">
    <w:abstractNumId w:val="3"/>
  </w:num>
  <w:num w:numId="39" w16cid:durableId="1138689808">
    <w:abstractNumId w:val="47"/>
  </w:num>
  <w:num w:numId="40" w16cid:durableId="1096948313">
    <w:abstractNumId w:val="0"/>
  </w:num>
  <w:num w:numId="41" w16cid:durableId="1775517976">
    <w:abstractNumId w:val="14"/>
  </w:num>
  <w:num w:numId="42" w16cid:durableId="1892692907">
    <w:abstractNumId w:val="13"/>
  </w:num>
  <w:num w:numId="43" w16cid:durableId="1383942095">
    <w:abstractNumId w:val="33"/>
  </w:num>
  <w:num w:numId="44" w16cid:durableId="1202131263">
    <w:abstractNumId w:val="10"/>
  </w:num>
  <w:num w:numId="45" w16cid:durableId="1642270305">
    <w:abstractNumId w:val="21"/>
  </w:num>
  <w:num w:numId="46" w16cid:durableId="2043632059">
    <w:abstractNumId w:val="38"/>
  </w:num>
  <w:num w:numId="47" w16cid:durableId="935331355">
    <w:abstractNumId w:val="43"/>
  </w:num>
  <w:num w:numId="48" w16cid:durableId="1978535728">
    <w:abstractNumId w:val="8"/>
  </w:num>
  <w:num w:numId="49" w16cid:durableId="978262367">
    <w:abstractNumId w:val="32"/>
  </w:num>
  <w:num w:numId="50" w16cid:durableId="9863205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043"/>
    <w:rsid w:val="00000C22"/>
    <w:rsid w:val="0000119C"/>
    <w:rsid w:val="0000176F"/>
    <w:rsid w:val="000018C4"/>
    <w:rsid w:val="00001918"/>
    <w:rsid w:val="0000214B"/>
    <w:rsid w:val="00003E4E"/>
    <w:rsid w:val="0000427D"/>
    <w:rsid w:val="000045DF"/>
    <w:rsid w:val="000051C3"/>
    <w:rsid w:val="000071D0"/>
    <w:rsid w:val="00010411"/>
    <w:rsid w:val="00010928"/>
    <w:rsid w:val="00010A7F"/>
    <w:rsid w:val="00011062"/>
    <w:rsid w:val="0001124F"/>
    <w:rsid w:val="000115A3"/>
    <w:rsid w:val="00011B60"/>
    <w:rsid w:val="00013ACD"/>
    <w:rsid w:val="00014F6E"/>
    <w:rsid w:val="00016BB3"/>
    <w:rsid w:val="00016FD8"/>
    <w:rsid w:val="00017425"/>
    <w:rsid w:val="0001778B"/>
    <w:rsid w:val="000177CD"/>
    <w:rsid w:val="00017A84"/>
    <w:rsid w:val="00020241"/>
    <w:rsid w:val="000215C1"/>
    <w:rsid w:val="0002176C"/>
    <w:rsid w:val="000238BF"/>
    <w:rsid w:val="00023E75"/>
    <w:rsid w:val="00024DE6"/>
    <w:rsid w:val="00025641"/>
    <w:rsid w:val="000256B4"/>
    <w:rsid w:val="00025710"/>
    <w:rsid w:val="00025C3A"/>
    <w:rsid w:val="00025EA2"/>
    <w:rsid w:val="000260E2"/>
    <w:rsid w:val="000261CC"/>
    <w:rsid w:val="0002653C"/>
    <w:rsid w:val="000266EC"/>
    <w:rsid w:val="0002741E"/>
    <w:rsid w:val="0002778F"/>
    <w:rsid w:val="00027D3E"/>
    <w:rsid w:val="00030870"/>
    <w:rsid w:val="00030BCD"/>
    <w:rsid w:val="0003168E"/>
    <w:rsid w:val="000320E4"/>
    <w:rsid w:val="000338ED"/>
    <w:rsid w:val="00036536"/>
    <w:rsid w:val="00036927"/>
    <w:rsid w:val="00036DB9"/>
    <w:rsid w:val="00040F6B"/>
    <w:rsid w:val="000417FD"/>
    <w:rsid w:val="000419D3"/>
    <w:rsid w:val="00044BD8"/>
    <w:rsid w:val="00044EBF"/>
    <w:rsid w:val="00045361"/>
    <w:rsid w:val="0004610A"/>
    <w:rsid w:val="00046E25"/>
    <w:rsid w:val="00047532"/>
    <w:rsid w:val="00047565"/>
    <w:rsid w:val="0004780A"/>
    <w:rsid w:val="00047B23"/>
    <w:rsid w:val="000505E7"/>
    <w:rsid w:val="00050C80"/>
    <w:rsid w:val="000528BC"/>
    <w:rsid w:val="00052E37"/>
    <w:rsid w:val="00052F9E"/>
    <w:rsid w:val="00053670"/>
    <w:rsid w:val="000537B9"/>
    <w:rsid w:val="00053A84"/>
    <w:rsid w:val="00055B11"/>
    <w:rsid w:val="000569F3"/>
    <w:rsid w:val="0005744C"/>
    <w:rsid w:val="00057739"/>
    <w:rsid w:val="00060B95"/>
    <w:rsid w:val="00062078"/>
    <w:rsid w:val="00063863"/>
    <w:rsid w:val="00063DAD"/>
    <w:rsid w:val="000646D3"/>
    <w:rsid w:val="00064937"/>
    <w:rsid w:val="00065138"/>
    <w:rsid w:val="00065182"/>
    <w:rsid w:val="000652CB"/>
    <w:rsid w:val="0006571E"/>
    <w:rsid w:val="00065A3F"/>
    <w:rsid w:val="00066346"/>
    <w:rsid w:val="00066609"/>
    <w:rsid w:val="000667ED"/>
    <w:rsid w:val="00070B15"/>
    <w:rsid w:val="00071A8D"/>
    <w:rsid w:val="000722E3"/>
    <w:rsid w:val="00072C0B"/>
    <w:rsid w:val="00072DDD"/>
    <w:rsid w:val="00073A7D"/>
    <w:rsid w:val="00073C41"/>
    <w:rsid w:val="000744C6"/>
    <w:rsid w:val="00074520"/>
    <w:rsid w:val="00075918"/>
    <w:rsid w:val="00076D66"/>
    <w:rsid w:val="00076F49"/>
    <w:rsid w:val="00076F75"/>
    <w:rsid w:val="000777F8"/>
    <w:rsid w:val="00077A01"/>
    <w:rsid w:val="00077AEA"/>
    <w:rsid w:val="00077F43"/>
    <w:rsid w:val="00080836"/>
    <w:rsid w:val="000814E5"/>
    <w:rsid w:val="000816FD"/>
    <w:rsid w:val="00083E50"/>
    <w:rsid w:val="000840A2"/>
    <w:rsid w:val="000841AD"/>
    <w:rsid w:val="00084F44"/>
    <w:rsid w:val="00085775"/>
    <w:rsid w:val="0008594B"/>
    <w:rsid w:val="00085B15"/>
    <w:rsid w:val="00085B54"/>
    <w:rsid w:val="0008766D"/>
    <w:rsid w:val="00087697"/>
    <w:rsid w:val="00087D9A"/>
    <w:rsid w:val="0009023E"/>
    <w:rsid w:val="000903A3"/>
    <w:rsid w:val="0009044C"/>
    <w:rsid w:val="000908C4"/>
    <w:rsid w:val="00090C5A"/>
    <w:rsid w:val="00091FCB"/>
    <w:rsid w:val="00092479"/>
    <w:rsid w:val="000925DF"/>
    <w:rsid w:val="000929BB"/>
    <w:rsid w:val="0009397E"/>
    <w:rsid w:val="000956B0"/>
    <w:rsid w:val="00096E62"/>
    <w:rsid w:val="00096F17"/>
    <w:rsid w:val="00097005"/>
    <w:rsid w:val="00097E71"/>
    <w:rsid w:val="000A08E8"/>
    <w:rsid w:val="000A0CD3"/>
    <w:rsid w:val="000A1896"/>
    <w:rsid w:val="000A5E0D"/>
    <w:rsid w:val="000A6B0B"/>
    <w:rsid w:val="000A722B"/>
    <w:rsid w:val="000B0943"/>
    <w:rsid w:val="000B0ACF"/>
    <w:rsid w:val="000B1158"/>
    <w:rsid w:val="000B1299"/>
    <w:rsid w:val="000B1A73"/>
    <w:rsid w:val="000B2E14"/>
    <w:rsid w:val="000B47A5"/>
    <w:rsid w:val="000B4E24"/>
    <w:rsid w:val="000B52B7"/>
    <w:rsid w:val="000B5DD0"/>
    <w:rsid w:val="000B6A8B"/>
    <w:rsid w:val="000B75F3"/>
    <w:rsid w:val="000C0A4F"/>
    <w:rsid w:val="000C0C9B"/>
    <w:rsid w:val="000C17D6"/>
    <w:rsid w:val="000C1C7C"/>
    <w:rsid w:val="000C2534"/>
    <w:rsid w:val="000C34CF"/>
    <w:rsid w:val="000C3540"/>
    <w:rsid w:val="000C38E3"/>
    <w:rsid w:val="000C412A"/>
    <w:rsid w:val="000C44C8"/>
    <w:rsid w:val="000C48B0"/>
    <w:rsid w:val="000C7E07"/>
    <w:rsid w:val="000D04FA"/>
    <w:rsid w:val="000D19B5"/>
    <w:rsid w:val="000D298B"/>
    <w:rsid w:val="000D317D"/>
    <w:rsid w:val="000D35AA"/>
    <w:rsid w:val="000D3BB7"/>
    <w:rsid w:val="000D4372"/>
    <w:rsid w:val="000D439A"/>
    <w:rsid w:val="000D5A40"/>
    <w:rsid w:val="000D60B3"/>
    <w:rsid w:val="000D6F21"/>
    <w:rsid w:val="000D751B"/>
    <w:rsid w:val="000D7AAB"/>
    <w:rsid w:val="000D7ECD"/>
    <w:rsid w:val="000E0252"/>
    <w:rsid w:val="000E27AA"/>
    <w:rsid w:val="000E3327"/>
    <w:rsid w:val="000E346D"/>
    <w:rsid w:val="000E4057"/>
    <w:rsid w:val="000E4239"/>
    <w:rsid w:val="000E50F4"/>
    <w:rsid w:val="000E522B"/>
    <w:rsid w:val="000E5C95"/>
    <w:rsid w:val="000E64B0"/>
    <w:rsid w:val="000E6797"/>
    <w:rsid w:val="000E6EC5"/>
    <w:rsid w:val="000E70CC"/>
    <w:rsid w:val="000E7C15"/>
    <w:rsid w:val="000F3048"/>
    <w:rsid w:val="000F42AE"/>
    <w:rsid w:val="000F4490"/>
    <w:rsid w:val="000F48EF"/>
    <w:rsid w:val="000F4E13"/>
    <w:rsid w:val="000F5131"/>
    <w:rsid w:val="000F51F0"/>
    <w:rsid w:val="000F58E2"/>
    <w:rsid w:val="000F5932"/>
    <w:rsid w:val="000F6B5E"/>
    <w:rsid w:val="0010098F"/>
    <w:rsid w:val="001013AD"/>
    <w:rsid w:val="001013F7"/>
    <w:rsid w:val="00101EC7"/>
    <w:rsid w:val="00102B30"/>
    <w:rsid w:val="00103276"/>
    <w:rsid w:val="00104114"/>
    <w:rsid w:val="00104AB4"/>
    <w:rsid w:val="00104C05"/>
    <w:rsid w:val="001059D8"/>
    <w:rsid w:val="001060FF"/>
    <w:rsid w:val="0010662D"/>
    <w:rsid w:val="001068DE"/>
    <w:rsid w:val="00106CD9"/>
    <w:rsid w:val="00110CD3"/>
    <w:rsid w:val="00111099"/>
    <w:rsid w:val="0011120D"/>
    <w:rsid w:val="00111327"/>
    <w:rsid w:val="00111715"/>
    <w:rsid w:val="0011178B"/>
    <w:rsid w:val="00111FE5"/>
    <w:rsid w:val="001128F6"/>
    <w:rsid w:val="00113334"/>
    <w:rsid w:val="00113F26"/>
    <w:rsid w:val="001140E9"/>
    <w:rsid w:val="00114FD3"/>
    <w:rsid w:val="00115FCE"/>
    <w:rsid w:val="001166CF"/>
    <w:rsid w:val="001168DE"/>
    <w:rsid w:val="00116F5A"/>
    <w:rsid w:val="0011713D"/>
    <w:rsid w:val="0012071C"/>
    <w:rsid w:val="00120D29"/>
    <w:rsid w:val="001214A4"/>
    <w:rsid w:val="00122FA0"/>
    <w:rsid w:val="00123792"/>
    <w:rsid w:val="001239F8"/>
    <w:rsid w:val="00125E0B"/>
    <w:rsid w:val="001264F9"/>
    <w:rsid w:val="00127819"/>
    <w:rsid w:val="00130711"/>
    <w:rsid w:val="001309CF"/>
    <w:rsid w:val="001312E9"/>
    <w:rsid w:val="001318D3"/>
    <w:rsid w:val="001323E3"/>
    <w:rsid w:val="00132E70"/>
    <w:rsid w:val="00133345"/>
    <w:rsid w:val="00133757"/>
    <w:rsid w:val="00133C8E"/>
    <w:rsid w:val="00134088"/>
    <w:rsid w:val="00137D4D"/>
    <w:rsid w:val="00140387"/>
    <w:rsid w:val="00140A04"/>
    <w:rsid w:val="00141C32"/>
    <w:rsid w:val="00141EA5"/>
    <w:rsid w:val="00143812"/>
    <w:rsid w:val="00143BC1"/>
    <w:rsid w:val="00143DB5"/>
    <w:rsid w:val="00143FC4"/>
    <w:rsid w:val="00144369"/>
    <w:rsid w:val="001456F7"/>
    <w:rsid w:val="00150D44"/>
    <w:rsid w:val="00150FB8"/>
    <w:rsid w:val="001510C8"/>
    <w:rsid w:val="00152168"/>
    <w:rsid w:val="001526D7"/>
    <w:rsid w:val="00152E7D"/>
    <w:rsid w:val="00153C45"/>
    <w:rsid w:val="0015444B"/>
    <w:rsid w:val="001566D3"/>
    <w:rsid w:val="00157387"/>
    <w:rsid w:val="001573C8"/>
    <w:rsid w:val="00157688"/>
    <w:rsid w:val="00157804"/>
    <w:rsid w:val="00157B44"/>
    <w:rsid w:val="0016217B"/>
    <w:rsid w:val="00162E57"/>
    <w:rsid w:val="00163174"/>
    <w:rsid w:val="0016353B"/>
    <w:rsid w:val="001648A6"/>
    <w:rsid w:val="00164D57"/>
    <w:rsid w:val="00165185"/>
    <w:rsid w:val="00165641"/>
    <w:rsid w:val="00165A06"/>
    <w:rsid w:val="001674B7"/>
    <w:rsid w:val="00167941"/>
    <w:rsid w:val="00167E1F"/>
    <w:rsid w:val="00170220"/>
    <w:rsid w:val="00170553"/>
    <w:rsid w:val="001708BD"/>
    <w:rsid w:val="00170B9E"/>
    <w:rsid w:val="00172C65"/>
    <w:rsid w:val="001734D9"/>
    <w:rsid w:val="00173769"/>
    <w:rsid w:val="00173E9E"/>
    <w:rsid w:val="00175199"/>
    <w:rsid w:val="0017565F"/>
    <w:rsid w:val="00175948"/>
    <w:rsid w:val="00175B55"/>
    <w:rsid w:val="00175ECA"/>
    <w:rsid w:val="00176E1F"/>
    <w:rsid w:val="0017746A"/>
    <w:rsid w:val="001802E9"/>
    <w:rsid w:val="0018072B"/>
    <w:rsid w:val="001807D9"/>
    <w:rsid w:val="00182AB1"/>
    <w:rsid w:val="001831A1"/>
    <w:rsid w:val="00184579"/>
    <w:rsid w:val="00184727"/>
    <w:rsid w:val="00184E43"/>
    <w:rsid w:val="0018556A"/>
    <w:rsid w:val="00185A9D"/>
    <w:rsid w:val="00185D37"/>
    <w:rsid w:val="00187613"/>
    <w:rsid w:val="00187D32"/>
    <w:rsid w:val="00187F68"/>
    <w:rsid w:val="00191C19"/>
    <w:rsid w:val="00191DF7"/>
    <w:rsid w:val="00192226"/>
    <w:rsid w:val="00192EC7"/>
    <w:rsid w:val="0019313A"/>
    <w:rsid w:val="0019369F"/>
    <w:rsid w:val="001937D9"/>
    <w:rsid w:val="00193C89"/>
    <w:rsid w:val="00196962"/>
    <w:rsid w:val="00196B61"/>
    <w:rsid w:val="00196BBB"/>
    <w:rsid w:val="001970F4"/>
    <w:rsid w:val="00197A4F"/>
    <w:rsid w:val="00197B31"/>
    <w:rsid w:val="001A07EC"/>
    <w:rsid w:val="001A0F5B"/>
    <w:rsid w:val="001A1776"/>
    <w:rsid w:val="001A3250"/>
    <w:rsid w:val="001A353A"/>
    <w:rsid w:val="001A3B4B"/>
    <w:rsid w:val="001A3CCE"/>
    <w:rsid w:val="001A52B9"/>
    <w:rsid w:val="001A5B71"/>
    <w:rsid w:val="001B0ECD"/>
    <w:rsid w:val="001B0F97"/>
    <w:rsid w:val="001B1F04"/>
    <w:rsid w:val="001B21F3"/>
    <w:rsid w:val="001B260B"/>
    <w:rsid w:val="001B2643"/>
    <w:rsid w:val="001B2C8A"/>
    <w:rsid w:val="001B3F22"/>
    <w:rsid w:val="001B3FE5"/>
    <w:rsid w:val="001B41A0"/>
    <w:rsid w:val="001B6E6C"/>
    <w:rsid w:val="001B6FDE"/>
    <w:rsid w:val="001B72A8"/>
    <w:rsid w:val="001B741F"/>
    <w:rsid w:val="001B7584"/>
    <w:rsid w:val="001B7977"/>
    <w:rsid w:val="001B7CE4"/>
    <w:rsid w:val="001B7F82"/>
    <w:rsid w:val="001C08E6"/>
    <w:rsid w:val="001C0B6E"/>
    <w:rsid w:val="001C1751"/>
    <w:rsid w:val="001C1F4F"/>
    <w:rsid w:val="001C2266"/>
    <w:rsid w:val="001C2835"/>
    <w:rsid w:val="001C3092"/>
    <w:rsid w:val="001C3B69"/>
    <w:rsid w:val="001C4BED"/>
    <w:rsid w:val="001C50F0"/>
    <w:rsid w:val="001C5AAC"/>
    <w:rsid w:val="001C5D07"/>
    <w:rsid w:val="001C6107"/>
    <w:rsid w:val="001C63B7"/>
    <w:rsid w:val="001C6A24"/>
    <w:rsid w:val="001C6F32"/>
    <w:rsid w:val="001C71FB"/>
    <w:rsid w:val="001D0EFC"/>
    <w:rsid w:val="001D133D"/>
    <w:rsid w:val="001D1C46"/>
    <w:rsid w:val="001D2018"/>
    <w:rsid w:val="001D31C8"/>
    <w:rsid w:val="001D4347"/>
    <w:rsid w:val="001D4731"/>
    <w:rsid w:val="001D573E"/>
    <w:rsid w:val="001D58E9"/>
    <w:rsid w:val="001D6A11"/>
    <w:rsid w:val="001D6BCC"/>
    <w:rsid w:val="001D75D3"/>
    <w:rsid w:val="001D7CD4"/>
    <w:rsid w:val="001D7F44"/>
    <w:rsid w:val="001E017E"/>
    <w:rsid w:val="001E0BC4"/>
    <w:rsid w:val="001E0F33"/>
    <w:rsid w:val="001E32D3"/>
    <w:rsid w:val="001E425B"/>
    <w:rsid w:val="001E69FD"/>
    <w:rsid w:val="001E7553"/>
    <w:rsid w:val="001E7F43"/>
    <w:rsid w:val="001F13F1"/>
    <w:rsid w:val="001F1678"/>
    <w:rsid w:val="001F211A"/>
    <w:rsid w:val="001F3B9B"/>
    <w:rsid w:val="001F5007"/>
    <w:rsid w:val="001F53ED"/>
    <w:rsid w:val="001F5F35"/>
    <w:rsid w:val="001F6A41"/>
    <w:rsid w:val="001F7EAF"/>
    <w:rsid w:val="0020030F"/>
    <w:rsid w:val="00200E71"/>
    <w:rsid w:val="0020131A"/>
    <w:rsid w:val="00201992"/>
    <w:rsid w:val="00201ED8"/>
    <w:rsid w:val="00203DEB"/>
    <w:rsid w:val="00203E78"/>
    <w:rsid w:val="00204715"/>
    <w:rsid w:val="00204736"/>
    <w:rsid w:val="00205230"/>
    <w:rsid w:val="00205957"/>
    <w:rsid w:val="002065D9"/>
    <w:rsid w:val="00206D0B"/>
    <w:rsid w:val="00206E64"/>
    <w:rsid w:val="00207C51"/>
    <w:rsid w:val="00210D78"/>
    <w:rsid w:val="00211DC0"/>
    <w:rsid w:val="00212915"/>
    <w:rsid w:val="00212FA5"/>
    <w:rsid w:val="00213F66"/>
    <w:rsid w:val="00214DE2"/>
    <w:rsid w:val="00217168"/>
    <w:rsid w:val="00217B59"/>
    <w:rsid w:val="00217C3B"/>
    <w:rsid w:val="00217CE4"/>
    <w:rsid w:val="00221042"/>
    <w:rsid w:val="002213D5"/>
    <w:rsid w:val="0022198F"/>
    <w:rsid w:val="00222075"/>
    <w:rsid w:val="00223AC6"/>
    <w:rsid w:val="002240D2"/>
    <w:rsid w:val="0022433B"/>
    <w:rsid w:val="002249BF"/>
    <w:rsid w:val="00224A8F"/>
    <w:rsid w:val="00227B5E"/>
    <w:rsid w:val="00227FC9"/>
    <w:rsid w:val="00232358"/>
    <w:rsid w:val="00232DD4"/>
    <w:rsid w:val="00233835"/>
    <w:rsid w:val="002347F0"/>
    <w:rsid w:val="002352B4"/>
    <w:rsid w:val="00235E2C"/>
    <w:rsid w:val="00235F89"/>
    <w:rsid w:val="002371DE"/>
    <w:rsid w:val="00237402"/>
    <w:rsid w:val="002379C8"/>
    <w:rsid w:val="00237A80"/>
    <w:rsid w:val="0024003D"/>
    <w:rsid w:val="0024067C"/>
    <w:rsid w:val="00240A0C"/>
    <w:rsid w:val="0024130A"/>
    <w:rsid w:val="002421B6"/>
    <w:rsid w:val="002427CE"/>
    <w:rsid w:val="00243157"/>
    <w:rsid w:val="002432C0"/>
    <w:rsid w:val="002440D0"/>
    <w:rsid w:val="00244BF1"/>
    <w:rsid w:val="00244F01"/>
    <w:rsid w:val="0024511C"/>
    <w:rsid w:val="00246F89"/>
    <w:rsid w:val="00247490"/>
    <w:rsid w:val="00247B8A"/>
    <w:rsid w:val="00247FA3"/>
    <w:rsid w:val="00250307"/>
    <w:rsid w:val="00250CE9"/>
    <w:rsid w:val="002510C4"/>
    <w:rsid w:val="00252654"/>
    <w:rsid w:val="00253631"/>
    <w:rsid w:val="002536C3"/>
    <w:rsid w:val="00253D16"/>
    <w:rsid w:val="00255125"/>
    <w:rsid w:val="00257437"/>
    <w:rsid w:val="002620D3"/>
    <w:rsid w:val="002626BF"/>
    <w:rsid w:val="002647EA"/>
    <w:rsid w:val="00264C41"/>
    <w:rsid w:val="00264D4D"/>
    <w:rsid w:val="002654EA"/>
    <w:rsid w:val="00265575"/>
    <w:rsid w:val="00265690"/>
    <w:rsid w:val="00266AAE"/>
    <w:rsid w:val="0026760B"/>
    <w:rsid w:val="00267A8A"/>
    <w:rsid w:val="002701EF"/>
    <w:rsid w:val="00270F0E"/>
    <w:rsid w:val="00271696"/>
    <w:rsid w:val="00271F3B"/>
    <w:rsid w:val="00272125"/>
    <w:rsid w:val="0027224E"/>
    <w:rsid w:val="00272825"/>
    <w:rsid w:val="00273CB2"/>
    <w:rsid w:val="00273EED"/>
    <w:rsid w:val="0027604F"/>
    <w:rsid w:val="00276399"/>
    <w:rsid w:val="00276E4B"/>
    <w:rsid w:val="00277016"/>
    <w:rsid w:val="0028001F"/>
    <w:rsid w:val="002808C5"/>
    <w:rsid w:val="002812E0"/>
    <w:rsid w:val="002813BA"/>
    <w:rsid w:val="00281C4E"/>
    <w:rsid w:val="00282E6C"/>
    <w:rsid w:val="0028777E"/>
    <w:rsid w:val="00287780"/>
    <w:rsid w:val="00287CEC"/>
    <w:rsid w:val="00290310"/>
    <w:rsid w:val="00290FA4"/>
    <w:rsid w:val="0029196C"/>
    <w:rsid w:val="00292B0F"/>
    <w:rsid w:val="00292E4E"/>
    <w:rsid w:val="00293146"/>
    <w:rsid w:val="00293434"/>
    <w:rsid w:val="00293FB4"/>
    <w:rsid w:val="00294766"/>
    <w:rsid w:val="002959A3"/>
    <w:rsid w:val="00295D15"/>
    <w:rsid w:val="002963BF"/>
    <w:rsid w:val="00296BC9"/>
    <w:rsid w:val="002970A6"/>
    <w:rsid w:val="002A0716"/>
    <w:rsid w:val="002A092D"/>
    <w:rsid w:val="002A21A7"/>
    <w:rsid w:val="002A4ABE"/>
    <w:rsid w:val="002A4B42"/>
    <w:rsid w:val="002A4D59"/>
    <w:rsid w:val="002A553E"/>
    <w:rsid w:val="002A67EF"/>
    <w:rsid w:val="002A6C9D"/>
    <w:rsid w:val="002A7F85"/>
    <w:rsid w:val="002B0E33"/>
    <w:rsid w:val="002B1158"/>
    <w:rsid w:val="002B15C6"/>
    <w:rsid w:val="002B1D79"/>
    <w:rsid w:val="002B42A2"/>
    <w:rsid w:val="002B51DD"/>
    <w:rsid w:val="002B5CAF"/>
    <w:rsid w:val="002B69C3"/>
    <w:rsid w:val="002B6FAB"/>
    <w:rsid w:val="002B746F"/>
    <w:rsid w:val="002B7928"/>
    <w:rsid w:val="002C10E3"/>
    <w:rsid w:val="002C1387"/>
    <w:rsid w:val="002C150C"/>
    <w:rsid w:val="002C1729"/>
    <w:rsid w:val="002C2E04"/>
    <w:rsid w:val="002C2E06"/>
    <w:rsid w:val="002C2F37"/>
    <w:rsid w:val="002C3642"/>
    <w:rsid w:val="002C50DB"/>
    <w:rsid w:val="002C5A77"/>
    <w:rsid w:val="002C652D"/>
    <w:rsid w:val="002C6637"/>
    <w:rsid w:val="002C7033"/>
    <w:rsid w:val="002D01EE"/>
    <w:rsid w:val="002D04C2"/>
    <w:rsid w:val="002D2038"/>
    <w:rsid w:val="002D2F24"/>
    <w:rsid w:val="002D4884"/>
    <w:rsid w:val="002D4EA9"/>
    <w:rsid w:val="002D5110"/>
    <w:rsid w:val="002D5F69"/>
    <w:rsid w:val="002D70F7"/>
    <w:rsid w:val="002D73CB"/>
    <w:rsid w:val="002D7CCB"/>
    <w:rsid w:val="002D7F3D"/>
    <w:rsid w:val="002E0A4E"/>
    <w:rsid w:val="002E10E2"/>
    <w:rsid w:val="002E1755"/>
    <w:rsid w:val="002E2161"/>
    <w:rsid w:val="002E403D"/>
    <w:rsid w:val="002E412A"/>
    <w:rsid w:val="002E5E66"/>
    <w:rsid w:val="002E5FA1"/>
    <w:rsid w:val="002E6056"/>
    <w:rsid w:val="002E6107"/>
    <w:rsid w:val="002E74D9"/>
    <w:rsid w:val="002E7B7E"/>
    <w:rsid w:val="002E7D11"/>
    <w:rsid w:val="002F04F3"/>
    <w:rsid w:val="002F104C"/>
    <w:rsid w:val="002F1587"/>
    <w:rsid w:val="002F1895"/>
    <w:rsid w:val="002F199E"/>
    <w:rsid w:val="002F1CDF"/>
    <w:rsid w:val="002F27FC"/>
    <w:rsid w:val="002F2907"/>
    <w:rsid w:val="002F3467"/>
    <w:rsid w:val="002F3825"/>
    <w:rsid w:val="002F3EE6"/>
    <w:rsid w:val="002F444B"/>
    <w:rsid w:val="002F4C49"/>
    <w:rsid w:val="002F5092"/>
    <w:rsid w:val="002F5360"/>
    <w:rsid w:val="002F5507"/>
    <w:rsid w:val="002F58A1"/>
    <w:rsid w:val="002F5E3D"/>
    <w:rsid w:val="002F62F7"/>
    <w:rsid w:val="002F681D"/>
    <w:rsid w:val="002F7BEB"/>
    <w:rsid w:val="003013EF"/>
    <w:rsid w:val="00301629"/>
    <w:rsid w:val="00301A5A"/>
    <w:rsid w:val="003022FF"/>
    <w:rsid w:val="00302434"/>
    <w:rsid w:val="00302A7F"/>
    <w:rsid w:val="00302D89"/>
    <w:rsid w:val="00303E31"/>
    <w:rsid w:val="00303F6E"/>
    <w:rsid w:val="0030503F"/>
    <w:rsid w:val="00306032"/>
    <w:rsid w:val="003066FE"/>
    <w:rsid w:val="003067F7"/>
    <w:rsid w:val="0030726D"/>
    <w:rsid w:val="00307990"/>
    <w:rsid w:val="003107F0"/>
    <w:rsid w:val="00310BD0"/>
    <w:rsid w:val="003115D6"/>
    <w:rsid w:val="0031172D"/>
    <w:rsid w:val="00311B1D"/>
    <w:rsid w:val="00312D7B"/>
    <w:rsid w:val="003135E9"/>
    <w:rsid w:val="003164FD"/>
    <w:rsid w:val="0031652C"/>
    <w:rsid w:val="00316784"/>
    <w:rsid w:val="003167B2"/>
    <w:rsid w:val="00317946"/>
    <w:rsid w:val="00320C97"/>
    <w:rsid w:val="00321C44"/>
    <w:rsid w:val="00322113"/>
    <w:rsid w:val="00322398"/>
    <w:rsid w:val="00323403"/>
    <w:rsid w:val="00323DDE"/>
    <w:rsid w:val="0032453E"/>
    <w:rsid w:val="0032476E"/>
    <w:rsid w:val="00325370"/>
    <w:rsid w:val="00327748"/>
    <w:rsid w:val="003279F3"/>
    <w:rsid w:val="00327F69"/>
    <w:rsid w:val="003307AE"/>
    <w:rsid w:val="003310DC"/>
    <w:rsid w:val="0033146B"/>
    <w:rsid w:val="00331769"/>
    <w:rsid w:val="003320D5"/>
    <w:rsid w:val="0033276D"/>
    <w:rsid w:val="0033310F"/>
    <w:rsid w:val="003332FB"/>
    <w:rsid w:val="00334AC6"/>
    <w:rsid w:val="003362C2"/>
    <w:rsid w:val="003364CC"/>
    <w:rsid w:val="00336748"/>
    <w:rsid w:val="00336A1E"/>
    <w:rsid w:val="00336E44"/>
    <w:rsid w:val="003379CA"/>
    <w:rsid w:val="00340865"/>
    <w:rsid w:val="00340AAC"/>
    <w:rsid w:val="00340CE5"/>
    <w:rsid w:val="00341477"/>
    <w:rsid w:val="00341E1F"/>
    <w:rsid w:val="00341F39"/>
    <w:rsid w:val="00342B77"/>
    <w:rsid w:val="00342ECF"/>
    <w:rsid w:val="003431EF"/>
    <w:rsid w:val="00343589"/>
    <w:rsid w:val="003447CA"/>
    <w:rsid w:val="00344FA3"/>
    <w:rsid w:val="00345DB6"/>
    <w:rsid w:val="00346B5F"/>
    <w:rsid w:val="00346D25"/>
    <w:rsid w:val="003476A2"/>
    <w:rsid w:val="00350807"/>
    <w:rsid w:val="00350EE6"/>
    <w:rsid w:val="00353091"/>
    <w:rsid w:val="003531B3"/>
    <w:rsid w:val="00353497"/>
    <w:rsid w:val="00353625"/>
    <w:rsid w:val="003539D6"/>
    <w:rsid w:val="00353B3C"/>
    <w:rsid w:val="00354AEC"/>
    <w:rsid w:val="0035753C"/>
    <w:rsid w:val="0036020B"/>
    <w:rsid w:val="00360D4F"/>
    <w:rsid w:val="003627F8"/>
    <w:rsid w:val="003631F5"/>
    <w:rsid w:val="00365847"/>
    <w:rsid w:val="00365894"/>
    <w:rsid w:val="00365901"/>
    <w:rsid w:val="0036637E"/>
    <w:rsid w:val="003669A2"/>
    <w:rsid w:val="0036762D"/>
    <w:rsid w:val="00367A7B"/>
    <w:rsid w:val="003704D0"/>
    <w:rsid w:val="003707DB"/>
    <w:rsid w:val="0037099B"/>
    <w:rsid w:val="00370A3B"/>
    <w:rsid w:val="003712EA"/>
    <w:rsid w:val="003715EE"/>
    <w:rsid w:val="0037217C"/>
    <w:rsid w:val="00372DE0"/>
    <w:rsid w:val="00373A4C"/>
    <w:rsid w:val="003743D8"/>
    <w:rsid w:val="003746FD"/>
    <w:rsid w:val="00374AA3"/>
    <w:rsid w:val="00374EA6"/>
    <w:rsid w:val="00376CDE"/>
    <w:rsid w:val="003805D4"/>
    <w:rsid w:val="003811D1"/>
    <w:rsid w:val="00382374"/>
    <w:rsid w:val="00382D0A"/>
    <w:rsid w:val="00383D82"/>
    <w:rsid w:val="00383E49"/>
    <w:rsid w:val="00385C3A"/>
    <w:rsid w:val="00386F2E"/>
    <w:rsid w:val="003875CD"/>
    <w:rsid w:val="003876E1"/>
    <w:rsid w:val="00387BC5"/>
    <w:rsid w:val="0039025C"/>
    <w:rsid w:val="0039055F"/>
    <w:rsid w:val="00391522"/>
    <w:rsid w:val="003916E8"/>
    <w:rsid w:val="00392289"/>
    <w:rsid w:val="0039247C"/>
    <w:rsid w:val="00392B78"/>
    <w:rsid w:val="003931B9"/>
    <w:rsid w:val="003935E1"/>
    <w:rsid w:val="003938E6"/>
    <w:rsid w:val="003940CF"/>
    <w:rsid w:val="00395ED7"/>
    <w:rsid w:val="003961C1"/>
    <w:rsid w:val="0039693E"/>
    <w:rsid w:val="00397192"/>
    <w:rsid w:val="003976B5"/>
    <w:rsid w:val="00397C62"/>
    <w:rsid w:val="003A0AE7"/>
    <w:rsid w:val="003A0EAD"/>
    <w:rsid w:val="003A1BF2"/>
    <w:rsid w:val="003A2253"/>
    <w:rsid w:val="003A2897"/>
    <w:rsid w:val="003A4ABC"/>
    <w:rsid w:val="003A4AF1"/>
    <w:rsid w:val="003A4AF3"/>
    <w:rsid w:val="003A5388"/>
    <w:rsid w:val="003A5536"/>
    <w:rsid w:val="003A55D7"/>
    <w:rsid w:val="003A5D5E"/>
    <w:rsid w:val="003A65C8"/>
    <w:rsid w:val="003A6E32"/>
    <w:rsid w:val="003A7BC1"/>
    <w:rsid w:val="003B03BD"/>
    <w:rsid w:val="003B0488"/>
    <w:rsid w:val="003B12A7"/>
    <w:rsid w:val="003B1871"/>
    <w:rsid w:val="003B1D09"/>
    <w:rsid w:val="003B32CF"/>
    <w:rsid w:val="003B3761"/>
    <w:rsid w:val="003B425B"/>
    <w:rsid w:val="003B560D"/>
    <w:rsid w:val="003B58DF"/>
    <w:rsid w:val="003B61E6"/>
    <w:rsid w:val="003B6E99"/>
    <w:rsid w:val="003C01BD"/>
    <w:rsid w:val="003C11C7"/>
    <w:rsid w:val="003C1A3B"/>
    <w:rsid w:val="003C2030"/>
    <w:rsid w:val="003C239A"/>
    <w:rsid w:val="003C2C33"/>
    <w:rsid w:val="003C2EB8"/>
    <w:rsid w:val="003C3C9E"/>
    <w:rsid w:val="003C45D5"/>
    <w:rsid w:val="003C4CD4"/>
    <w:rsid w:val="003C4EC7"/>
    <w:rsid w:val="003C51BB"/>
    <w:rsid w:val="003C5382"/>
    <w:rsid w:val="003C58F3"/>
    <w:rsid w:val="003C5F84"/>
    <w:rsid w:val="003C610F"/>
    <w:rsid w:val="003C7A58"/>
    <w:rsid w:val="003D16B1"/>
    <w:rsid w:val="003D1C0D"/>
    <w:rsid w:val="003D1F2D"/>
    <w:rsid w:val="003D2C65"/>
    <w:rsid w:val="003D37C0"/>
    <w:rsid w:val="003D411A"/>
    <w:rsid w:val="003D5BC3"/>
    <w:rsid w:val="003D6096"/>
    <w:rsid w:val="003D64C2"/>
    <w:rsid w:val="003D6D6E"/>
    <w:rsid w:val="003D7559"/>
    <w:rsid w:val="003E0D20"/>
    <w:rsid w:val="003E103C"/>
    <w:rsid w:val="003E17CA"/>
    <w:rsid w:val="003E204E"/>
    <w:rsid w:val="003E25A0"/>
    <w:rsid w:val="003E31FA"/>
    <w:rsid w:val="003E3E10"/>
    <w:rsid w:val="003E494C"/>
    <w:rsid w:val="003E5225"/>
    <w:rsid w:val="003E56F5"/>
    <w:rsid w:val="003E5A05"/>
    <w:rsid w:val="003E5B94"/>
    <w:rsid w:val="003E5DDA"/>
    <w:rsid w:val="003E5FE3"/>
    <w:rsid w:val="003E66C4"/>
    <w:rsid w:val="003E68F2"/>
    <w:rsid w:val="003E78BB"/>
    <w:rsid w:val="003E7A93"/>
    <w:rsid w:val="003F026D"/>
    <w:rsid w:val="003F1944"/>
    <w:rsid w:val="003F1BA0"/>
    <w:rsid w:val="003F1FC5"/>
    <w:rsid w:val="003F3CE9"/>
    <w:rsid w:val="003F49B2"/>
    <w:rsid w:val="003F5269"/>
    <w:rsid w:val="003F55D4"/>
    <w:rsid w:val="003F5C59"/>
    <w:rsid w:val="003F7EDB"/>
    <w:rsid w:val="00400BB0"/>
    <w:rsid w:val="00400E3D"/>
    <w:rsid w:val="00401299"/>
    <w:rsid w:val="00401308"/>
    <w:rsid w:val="004017D1"/>
    <w:rsid w:val="00401E15"/>
    <w:rsid w:val="00401FA2"/>
    <w:rsid w:val="00402C80"/>
    <w:rsid w:val="00403818"/>
    <w:rsid w:val="00403D45"/>
    <w:rsid w:val="004042D2"/>
    <w:rsid w:val="00404E44"/>
    <w:rsid w:val="004074C7"/>
    <w:rsid w:val="004076A7"/>
    <w:rsid w:val="00407715"/>
    <w:rsid w:val="004101EC"/>
    <w:rsid w:val="00410A0B"/>
    <w:rsid w:val="00410B9F"/>
    <w:rsid w:val="00411293"/>
    <w:rsid w:val="00412E54"/>
    <w:rsid w:val="00413FD9"/>
    <w:rsid w:val="00414009"/>
    <w:rsid w:val="00414996"/>
    <w:rsid w:val="00414C4B"/>
    <w:rsid w:val="00414C65"/>
    <w:rsid w:val="004154DF"/>
    <w:rsid w:val="0041573F"/>
    <w:rsid w:val="0041705B"/>
    <w:rsid w:val="00417F79"/>
    <w:rsid w:val="00421A0D"/>
    <w:rsid w:val="00421A58"/>
    <w:rsid w:val="00422ABA"/>
    <w:rsid w:val="00422BEE"/>
    <w:rsid w:val="0042335D"/>
    <w:rsid w:val="00423BE7"/>
    <w:rsid w:val="00424724"/>
    <w:rsid w:val="00424C4C"/>
    <w:rsid w:val="00424E98"/>
    <w:rsid w:val="0042527B"/>
    <w:rsid w:val="00425480"/>
    <w:rsid w:val="00425CEA"/>
    <w:rsid w:val="004262EB"/>
    <w:rsid w:val="00426F6E"/>
    <w:rsid w:val="004300EA"/>
    <w:rsid w:val="0043014B"/>
    <w:rsid w:val="0043059F"/>
    <w:rsid w:val="00430C46"/>
    <w:rsid w:val="0043124F"/>
    <w:rsid w:val="00431D03"/>
    <w:rsid w:val="00431DC0"/>
    <w:rsid w:val="0043287C"/>
    <w:rsid w:val="00433262"/>
    <w:rsid w:val="00433958"/>
    <w:rsid w:val="00433D3E"/>
    <w:rsid w:val="00434524"/>
    <w:rsid w:val="00434F86"/>
    <w:rsid w:val="00436EF9"/>
    <w:rsid w:val="004377F3"/>
    <w:rsid w:val="00440657"/>
    <w:rsid w:val="00440887"/>
    <w:rsid w:val="00442990"/>
    <w:rsid w:val="00442A9B"/>
    <w:rsid w:val="00442AB0"/>
    <w:rsid w:val="00444128"/>
    <w:rsid w:val="00444914"/>
    <w:rsid w:val="00444B54"/>
    <w:rsid w:val="00444FBD"/>
    <w:rsid w:val="004453A1"/>
    <w:rsid w:val="00447C16"/>
    <w:rsid w:val="00447CB5"/>
    <w:rsid w:val="00450505"/>
    <w:rsid w:val="00450941"/>
    <w:rsid w:val="00450D9C"/>
    <w:rsid w:val="0045124F"/>
    <w:rsid w:val="00451DDA"/>
    <w:rsid w:val="004524C6"/>
    <w:rsid w:val="00452AC7"/>
    <w:rsid w:val="00452C25"/>
    <w:rsid w:val="00452C3E"/>
    <w:rsid w:val="00452D7B"/>
    <w:rsid w:val="00453FCF"/>
    <w:rsid w:val="004544F7"/>
    <w:rsid w:val="00454C29"/>
    <w:rsid w:val="00456023"/>
    <w:rsid w:val="0045634E"/>
    <w:rsid w:val="00456679"/>
    <w:rsid w:val="00456F8D"/>
    <w:rsid w:val="00457D49"/>
    <w:rsid w:val="00460949"/>
    <w:rsid w:val="00461F4D"/>
    <w:rsid w:val="00461FEC"/>
    <w:rsid w:val="004625E5"/>
    <w:rsid w:val="00466094"/>
    <w:rsid w:val="00466342"/>
    <w:rsid w:val="0046658A"/>
    <w:rsid w:val="00466B66"/>
    <w:rsid w:val="00467DC2"/>
    <w:rsid w:val="0047123D"/>
    <w:rsid w:val="004724EF"/>
    <w:rsid w:val="004731F4"/>
    <w:rsid w:val="004732E7"/>
    <w:rsid w:val="00473B31"/>
    <w:rsid w:val="0047428E"/>
    <w:rsid w:val="00474A72"/>
    <w:rsid w:val="00474BCC"/>
    <w:rsid w:val="0047533C"/>
    <w:rsid w:val="00475805"/>
    <w:rsid w:val="00477906"/>
    <w:rsid w:val="00477E8A"/>
    <w:rsid w:val="00480962"/>
    <w:rsid w:val="004814A6"/>
    <w:rsid w:val="004814B0"/>
    <w:rsid w:val="00482969"/>
    <w:rsid w:val="00482C94"/>
    <w:rsid w:val="0048305A"/>
    <w:rsid w:val="0048505C"/>
    <w:rsid w:val="00485785"/>
    <w:rsid w:val="00486A1C"/>
    <w:rsid w:val="00486D8D"/>
    <w:rsid w:val="00487A85"/>
    <w:rsid w:val="0049008C"/>
    <w:rsid w:val="00490236"/>
    <w:rsid w:val="0049029B"/>
    <w:rsid w:val="004908E8"/>
    <w:rsid w:val="00491187"/>
    <w:rsid w:val="00491DAB"/>
    <w:rsid w:val="00492F1D"/>
    <w:rsid w:val="00493400"/>
    <w:rsid w:val="00494888"/>
    <w:rsid w:val="004948E2"/>
    <w:rsid w:val="004950D2"/>
    <w:rsid w:val="004958CF"/>
    <w:rsid w:val="00495AC4"/>
    <w:rsid w:val="00495C1C"/>
    <w:rsid w:val="00497416"/>
    <w:rsid w:val="00497630"/>
    <w:rsid w:val="00497A4F"/>
    <w:rsid w:val="00497A76"/>
    <w:rsid w:val="00497D5A"/>
    <w:rsid w:val="004A0833"/>
    <w:rsid w:val="004A12A5"/>
    <w:rsid w:val="004A180F"/>
    <w:rsid w:val="004A49E6"/>
    <w:rsid w:val="004A5700"/>
    <w:rsid w:val="004A57F6"/>
    <w:rsid w:val="004A5881"/>
    <w:rsid w:val="004B0590"/>
    <w:rsid w:val="004B074C"/>
    <w:rsid w:val="004B0B90"/>
    <w:rsid w:val="004B0C83"/>
    <w:rsid w:val="004B2D2D"/>
    <w:rsid w:val="004B3306"/>
    <w:rsid w:val="004B386A"/>
    <w:rsid w:val="004B3895"/>
    <w:rsid w:val="004B3A06"/>
    <w:rsid w:val="004B3C11"/>
    <w:rsid w:val="004B5C41"/>
    <w:rsid w:val="004B5D1F"/>
    <w:rsid w:val="004B65C0"/>
    <w:rsid w:val="004B722C"/>
    <w:rsid w:val="004B7663"/>
    <w:rsid w:val="004C0EEB"/>
    <w:rsid w:val="004C22BE"/>
    <w:rsid w:val="004C2BF5"/>
    <w:rsid w:val="004C31FC"/>
    <w:rsid w:val="004C456C"/>
    <w:rsid w:val="004C5883"/>
    <w:rsid w:val="004C64D7"/>
    <w:rsid w:val="004C696A"/>
    <w:rsid w:val="004C7904"/>
    <w:rsid w:val="004C79B8"/>
    <w:rsid w:val="004C7E04"/>
    <w:rsid w:val="004C7FAA"/>
    <w:rsid w:val="004D015D"/>
    <w:rsid w:val="004D01F0"/>
    <w:rsid w:val="004D0634"/>
    <w:rsid w:val="004D0E3D"/>
    <w:rsid w:val="004D1797"/>
    <w:rsid w:val="004D1C8C"/>
    <w:rsid w:val="004D315A"/>
    <w:rsid w:val="004D3F46"/>
    <w:rsid w:val="004D43A4"/>
    <w:rsid w:val="004D56FC"/>
    <w:rsid w:val="004E145D"/>
    <w:rsid w:val="004E20D5"/>
    <w:rsid w:val="004E2692"/>
    <w:rsid w:val="004E2C95"/>
    <w:rsid w:val="004E2D43"/>
    <w:rsid w:val="004E3224"/>
    <w:rsid w:val="004E36D3"/>
    <w:rsid w:val="004E4C24"/>
    <w:rsid w:val="004E51A4"/>
    <w:rsid w:val="004E53F9"/>
    <w:rsid w:val="004E5594"/>
    <w:rsid w:val="004E5C0F"/>
    <w:rsid w:val="004E5FC8"/>
    <w:rsid w:val="004E6716"/>
    <w:rsid w:val="004F1661"/>
    <w:rsid w:val="004F209B"/>
    <w:rsid w:val="004F354B"/>
    <w:rsid w:val="004F369A"/>
    <w:rsid w:val="004F3DD6"/>
    <w:rsid w:val="004F3E8E"/>
    <w:rsid w:val="004F3F7D"/>
    <w:rsid w:val="004F4156"/>
    <w:rsid w:val="004F4490"/>
    <w:rsid w:val="004F5E19"/>
    <w:rsid w:val="004F6245"/>
    <w:rsid w:val="004F624E"/>
    <w:rsid w:val="004F7225"/>
    <w:rsid w:val="004F7346"/>
    <w:rsid w:val="004F7686"/>
    <w:rsid w:val="005008BA"/>
    <w:rsid w:val="005015BE"/>
    <w:rsid w:val="00503250"/>
    <w:rsid w:val="00503674"/>
    <w:rsid w:val="005043F8"/>
    <w:rsid w:val="00504786"/>
    <w:rsid w:val="005049DD"/>
    <w:rsid w:val="00505931"/>
    <w:rsid w:val="00507541"/>
    <w:rsid w:val="00511C86"/>
    <w:rsid w:val="00511DE5"/>
    <w:rsid w:val="00512411"/>
    <w:rsid w:val="00512D87"/>
    <w:rsid w:val="00514A60"/>
    <w:rsid w:val="00514BCF"/>
    <w:rsid w:val="005155DB"/>
    <w:rsid w:val="0051773E"/>
    <w:rsid w:val="005177F9"/>
    <w:rsid w:val="00517E3F"/>
    <w:rsid w:val="00520897"/>
    <w:rsid w:val="0052095A"/>
    <w:rsid w:val="00520B04"/>
    <w:rsid w:val="00521778"/>
    <w:rsid w:val="005218E4"/>
    <w:rsid w:val="00521CC5"/>
    <w:rsid w:val="00523574"/>
    <w:rsid w:val="00523A3D"/>
    <w:rsid w:val="00524BFC"/>
    <w:rsid w:val="00524C21"/>
    <w:rsid w:val="00525E10"/>
    <w:rsid w:val="005262B0"/>
    <w:rsid w:val="0052648D"/>
    <w:rsid w:val="00527485"/>
    <w:rsid w:val="0052750B"/>
    <w:rsid w:val="0052782F"/>
    <w:rsid w:val="005279B8"/>
    <w:rsid w:val="00532870"/>
    <w:rsid w:val="00532946"/>
    <w:rsid w:val="00532B46"/>
    <w:rsid w:val="00532CAA"/>
    <w:rsid w:val="00534377"/>
    <w:rsid w:val="00534C62"/>
    <w:rsid w:val="005361DA"/>
    <w:rsid w:val="005367C8"/>
    <w:rsid w:val="00540796"/>
    <w:rsid w:val="00540BD6"/>
    <w:rsid w:val="00540CFA"/>
    <w:rsid w:val="0054172C"/>
    <w:rsid w:val="00541C23"/>
    <w:rsid w:val="00541F0C"/>
    <w:rsid w:val="00542027"/>
    <w:rsid w:val="005426CC"/>
    <w:rsid w:val="00542B39"/>
    <w:rsid w:val="00543FB0"/>
    <w:rsid w:val="005443D7"/>
    <w:rsid w:val="005458CA"/>
    <w:rsid w:val="00547037"/>
    <w:rsid w:val="00547160"/>
    <w:rsid w:val="00547732"/>
    <w:rsid w:val="00550115"/>
    <w:rsid w:val="00550452"/>
    <w:rsid w:val="00551230"/>
    <w:rsid w:val="005515BC"/>
    <w:rsid w:val="005519E1"/>
    <w:rsid w:val="00551BE3"/>
    <w:rsid w:val="00552098"/>
    <w:rsid w:val="005522AE"/>
    <w:rsid w:val="0055286D"/>
    <w:rsid w:val="00552A9D"/>
    <w:rsid w:val="005532D0"/>
    <w:rsid w:val="00553C1B"/>
    <w:rsid w:val="00554288"/>
    <w:rsid w:val="00554B31"/>
    <w:rsid w:val="00555317"/>
    <w:rsid w:val="00555547"/>
    <w:rsid w:val="00555A7F"/>
    <w:rsid w:val="005562AB"/>
    <w:rsid w:val="005563C3"/>
    <w:rsid w:val="00556792"/>
    <w:rsid w:val="00556E5D"/>
    <w:rsid w:val="00556FDE"/>
    <w:rsid w:val="005576B0"/>
    <w:rsid w:val="00557790"/>
    <w:rsid w:val="00557A35"/>
    <w:rsid w:val="00562365"/>
    <w:rsid w:val="00564160"/>
    <w:rsid w:val="005642EE"/>
    <w:rsid w:val="00564A61"/>
    <w:rsid w:val="00565D7F"/>
    <w:rsid w:val="00566F44"/>
    <w:rsid w:val="00567485"/>
    <w:rsid w:val="005677BA"/>
    <w:rsid w:val="00567BDD"/>
    <w:rsid w:val="00570987"/>
    <w:rsid w:val="00571640"/>
    <w:rsid w:val="00571756"/>
    <w:rsid w:val="00572082"/>
    <w:rsid w:val="00572FEC"/>
    <w:rsid w:val="005756B9"/>
    <w:rsid w:val="005757D4"/>
    <w:rsid w:val="00575EF2"/>
    <w:rsid w:val="005763DB"/>
    <w:rsid w:val="00580117"/>
    <w:rsid w:val="005804A7"/>
    <w:rsid w:val="00583DEC"/>
    <w:rsid w:val="005856F2"/>
    <w:rsid w:val="00586B4A"/>
    <w:rsid w:val="00586DD5"/>
    <w:rsid w:val="00587E66"/>
    <w:rsid w:val="00590489"/>
    <w:rsid w:val="005908BE"/>
    <w:rsid w:val="00591BAA"/>
    <w:rsid w:val="00592465"/>
    <w:rsid w:val="005943AA"/>
    <w:rsid w:val="00594F89"/>
    <w:rsid w:val="00595AF3"/>
    <w:rsid w:val="00596307"/>
    <w:rsid w:val="005964AA"/>
    <w:rsid w:val="00596875"/>
    <w:rsid w:val="00596ABB"/>
    <w:rsid w:val="005A0FFA"/>
    <w:rsid w:val="005A1C56"/>
    <w:rsid w:val="005A3288"/>
    <w:rsid w:val="005A38AD"/>
    <w:rsid w:val="005A466D"/>
    <w:rsid w:val="005A5185"/>
    <w:rsid w:val="005A5E72"/>
    <w:rsid w:val="005A67AD"/>
    <w:rsid w:val="005A6E6B"/>
    <w:rsid w:val="005A75C1"/>
    <w:rsid w:val="005A7D8F"/>
    <w:rsid w:val="005B0554"/>
    <w:rsid w:val="005B0B2C"/>
    <w:rsid w:val="005B15EE"/>
    <w:rsid w:val="005B1CFF"/>
    <w:rsid w:val="005B224D"/>
    <w:rsid w:val="005B3087"/>
    <w:rsid w:val="005B3517"/>
    <w:rsid w:val="005B4CFD"/>
    <w:rsid w:val="005B5204"/>
    <w:rsid w:val="005B6523"/>
    <w:rsid w:val="005B6687"/>
    <w:rsid w:val="005B6DD3"/>
    <w:rsid w:val="005B74EB"/>
    <w:rsid w:val="005B7DD6"/>
    <w:rsid w:val="005C0732"/>
    <w:rsid w:val="005C0A9D"/>
    <w:rsid w:val="005C0FB3"/>
    <w:rsid w:val="005C32E3"/>
    <w:rsid w:val="005C3E44"/>
    <w:rsid w:val="005C454E"/>
    <w:rsid w:val="005C4594"/>
    <w:rsid w:val="005C466B"/>
    <w:rsid w:val="005C624D"/>
    <w:rsid w:val="005C78FB"/>
    <w:rsid w:val="005C7B1D"/>
    <w:rsid w:val="005D2CE9"/>
    <w:rsid w:val="005D2F90"/>
    <w:rsid w:val="005D3250"/>
    <w:rsid w:val="005D335A"/>
    <w:rsid w:val="005D3565"/>
    <w:rsid w:val="005D3603"/>
    <w:rsid w:val="005D37CA"/>
    <w:rsid w:val="005D3AEE"/>
    <w:rsid w:val="005D3EAC"/>
    <w:rsid w:val="005D4D6F"/>
    <w:rsid w:val="005D5FF2"/>
    <w:rsid w:val="005D7E39"/>
    <w:rsid w:val="005E0379"/>
    <w:rsid w:val="005E0543"/>
    <w:rsid w:val="005E09A0"/>
    <w:rsid w:val="005E0DF2"/>
    <w:rsid w:val="005E10F7"/>
    <w:rsid w:val="005E130A"/>
    <w:rsid w:val="005E29C0"/>
    <w:rsid w:val="005E4457"/>
    <w:rsid w:val="005E55A9"/>
    <w:rsid w:val="005E6A73"/>
    <w:rsid w:val="005E6ABA"/>
    <w:rsid w:val="005E6AF4"/>
    <w:rsid w:val="005E6B83"/>
    <w:rsid w:val="005E7108"/>
    <w:rsid w:val="005E7B35"/>
    <w:rsid w:val="005F172F"/>
    <w:rsid w:val="005F1D63"/>
    <w:rsid w:val="005F3460"/>
    <w:rsid w:val="005F3D2D"/>
    <w:rsid w:val="005F4E7C"/>
    <w:rsid w:val="005F588E"/>
    <w:rsid w:val="005F5CEB"/>
    <w:rsid w:val="005F6A39"/>
    <w:rsid w:val="005F7134"/>
    <w:rsid w:val="005F75CB"/>
    <w:rsid w:val="005F778F"/>
    <w:rsid w:val="005F7A55"/>
    <w:rsid w:val="006009F2"/>
    <w:rsid w:val="00600C20"/>
    <w:rsid w:val="00601665"/>
    <w:rsid w:val="00601F8E"/>
    <w:rsid w:val="006025DB"/>
    <w:rsid w:val="0060305A"/>
    <w:rsid w:val="006032ED"/>
    <w:rsid w:val="00604F71"/>
    <w:rsid w:val="00606C5A"/>
    <w:rsid w:val="00607944"/>
    <w:rsid w:val="00610CB2"/>
    <w:rsid w:val="00611199"/>
    <w:rsid w:val="006126B4"/>
    <w:rsid w:val="00612C71"/>
    <w:rsid w:val="006160EB"/>
    <w:rsid w:val="006164C3"/>
    <w:rsid w:val="00620702"/>
    <w:rsid w:val="006218F7"/>
    <w:rsid w:val="006223EE"/>
    <w:rsid w:val="00622BA1"/>
    <w:rsid w:val="006259D9"/>
    <w:rsid w:val="00625DE6"/>
    <w:rsid w:val="0062608E"/>
    <w:rsid w:val="00626163"/>
    <w:rsid w:val="0062754A"/>
    <w:rsid w:val="00627F23"/>
    <w:rsid w:val="00630C38"/>
    <w:rsid w:val="00632013"/>
    <w:rsid w:val="00632311"/>
    <w:rsid w:val="006333FE"/>
    <w:rsid w:val="006344B6"/>
    <w:rsid w:val="00634A0F"/>
    <w:rsid w:val="00634BFA"/>
    <w:rsid w:val="00634F30"/>
    <w:rsid w:val="0063501C"/>
    <w:rsid w:val="0063539E"/>
    <w:rsid w:val="00635B91"/>
    <w:rsid w:val="006368E9"/>
    <w:rsid w:val="00636D4F"/>
    <w:rsid w:val="006373B0"/>
    <w:rsid w:val="006375BB"/>
    <w:rsid w:val="00637D19"/>
    <w:rsid w:val="0064096E"/>
    <w:rsid w:val="00640B5A"/>
    <w:rsid w:val="0064165A"/>
    <w:rsid w:val="00641845"/>
    <w:rsid w:val="006419C3"/>
    <w:rsid w:val="00641BB0"/>
    <w:rsid w:val="00641DFA"/>
    <w:rsid w:val="00641EF0"/>
    <w:rsid w:val="00643126"/>
    <w:rsid w:val="00643573"/>
    <w:rsid w:val="006444D9"/>
    <w:rsid w:val="00645ED5"/>
    <w:rsid w:val="0064760B"/>
    <w:rsid w:val="00647A0A"/>
    <w:rsid w:val="00647BFC"/>
    <w:rsid w:val="00647D42"/>
    <w:rsid w:val="006504EC"/>
    <w:rsid w:val="006505C6"/>
    <w:rsid w:val="00650876"/>
    <w:rsid w:val="00650909"/>
    <w:rsid w:val="00651439"/>
    <w:rsid w:val="00651729"/>
    <w:rsid w:val="006519F1"/>
    <w:rsid w:val="00652F0F"/>
    <w:rsid w:val="00652FDA"/>
    <w:rsid w:val="00653173"/>
    <w:rsid w:val="0065335F"/>
    <w:rsid w:val="006533E7"/>
    <w:rsid w:val="0065458A"/>
    <w:rsid w:val="006556BB"/>
    <w:rsid w:val="00655930"/>
    <w:rsid w:val="006567FA"/>
    <w:rsid w:val="0065714C"/>
    <w:rsid w:val="006574E9"/>
    <w:rsid w:val="006613E4"/>
    <w:rsid w:val="006617C6"/>
    <w:rsid w:val="00662B28"/>
    <w:rsid w:val="006632ED"/>
    <w:rsid w:val="00664311"/>
    <w:rsid w:val="00664493"/>
    <w:rsid w:val="006648BA"/>
    <w:rsid w:val="006650E5"/>
    <w:rsid w:val="00665CE8"/>
    <w:rsid w:val="0066666D"/>
    <w:rsid w:val="00666D27"/>
    <w:rsid w:val="0066733A"/>
    <w:rsid w:val="0066763A"/>
    <w:rsid w:val="00670061"/>
    <w:rsid w:val="00670178"/>
    <w:rsid w:val="00670327"/>
    <w:rsid w:val="0067046A"/>
    <w:rsid w:val="0067132A"/>
    <w:rsid w:val="00671C7C"/>
    <w:rsid w:val="00672B1B"/>
    <w:rsid w:val="00673507"/>
    <w:rsid w:val="00673A1C"/>
    <w:rsid w:val="006763F6"/>
    <w:rsid w:val="00676F7B"/>
    <w:rsid w:val="00677989"/>
    <w:rsid w:val="00677FF6"/>
    <w:rsid w:val="00680776"/>
    <w:rsid w:val="00680EF1"/>
    <w:rsid w:val="00681122"/>
    <w:rsid w:val="006815F4"/>
    <w:rsid w:val="00681B4D"/>
    <w:rsid w:val="00681CA1"/>
    <w:rsid w:val="00681E78"/>
    <w:rsid w:val="00682F68"/>
    <w:rsid w:val="006831F5"/>
    <w:rsid w:val="0068325E"/>
    <w:rsid w:val="00684167"/>
    <w:rsid w:val="00684501"/>
    <w:rsid w:val="00685060"/>
    <w:rsid w:val="00686272"/>
    <w:rsid w:val="0068767D"/>
    <w:rsid w:val="00687E94"/>
    <w:rsid w:val="00690299"/>
    <w:rsid w:val="00690694"/>
    <w:rsid w:val="006908BC"/>
    <w:rsid w:val="00690C38"/>
    <w:rsid w:val="0069254B"/>
    <w:rsid w:val="00692DB0"/>
    <w:rsid w:val="00694849"/>
    <w:rsid w:val="00694995"/>
    <w:rsid w:val="00695E08"/>
    <w:rsid w:val="00695E81"/>
    <w:rsid w:val="00695FBD"/>
    <w:rsid w:val="006966CF"/>
    <w:rsid w:val="00696B5D"/>
    <w:rsid w:val="00696B64"/>
    <w:rsid w:val="00697107"/>
    <w:rsid w:val="0069711F"/>
    <w:rsid w:val="0069741D"/>
    <w:rsid w:val="00697450"/>
    <w:rsid w:val="00697A53"/>
    <w:rsid w:val="006A0C4B"/>
    <w:rsid w:val="006A14C3"/>
    <w:rsid w:val="006A363A"/>
    <w:rsid w:val="006A3782"/>
    <w:rsid w:val="006A4215"/>
    <w:rsid w:val="006A47C1"/>
    <w:rsid w:val="006A49F8"/>
    <w:rsid w:val="006A5D19"/>
    <w:rsid w:val="006A7167"/>
    <w:rsid w:val="006A7953"/>
    <w:rsid w:val="006B1314"/>
    <w:rsid w:val="006B183A"/>
    <w:rsid w:val="006B2A5E"/>
    <w:rsid w:val="006B2E17"/>
    <w:rsid w:val="006B32B7"/>
    <w:rsid w:val="006B3B5E"/>
    <w:rsid w:val="006B505C"/>
    <w:rsid w:val="006B5353"/>
    <w:rsid w:val="006B5B26"/>
    <w:rsid w:val="006B5D57"/>
    <w:rsid w:val="006B5F6B"/>
    <w:rsid w:val="006B61F8"/>
    <w:rsid w:val="006B64C0"/>
    <w:rsid w:val="006B79F6"/>
    <w:rsid w:val="006C0D01"/>
    <w:rsid w:val="006C212E"/>
    <w:rsid w:val="006C4118"/>
    <w:rsid w:val="006C4D65"/>
    <w:rsid w:val="006C5FA7"/>
    <w:rsid w:val="006C7BE1"/>
    <w:rsid w:val="006D0137"/>
    <w:rsid w:val="006D04EA"/>
    <w:rsid w:val="006D07B7"/>
    <w:rsid w:val="006D153C"/>
    <w:rsid w:val="006D3906"/>
    <w:rsid w:val="006D4432"/>
    <w:rsid w:val="006D5371"/>
    <w:rsid w:val="006D6590"/>
    <w:rsid w:val="006D67CC"/>
    <w:rsid w:val="006D7404"/>
    <w:rsid w:val="006E012D"/>
    <w:rsid w:val="006E05FC"/>
    <w:rsid w:val="006E1374"/>
    <w:rsid w:val="006E16FB"/>
    <w:rsid w:val="006E1A76"/>
    <w:rsid w:val="006E30D5"/>
    <w:rsid w:val="006E311F"/>
    <w:rsid w:val="006E334F"/>
    <w:rsid w:val="006E58F4"/>
    <w:rsid w:val="006E6478"/>
    <w:rsid w:val="006E6D43"/>
    <w:rsid w:val="006E7380"/>
    <w:rsid w:val="006E7D42"/>
    <w:rsid w:val="006E7D6A"/>
    <w:rsid w:val="006F13DA"/>
    <w:rsid w:val="006F291A"/>
    <w:rsid w:val="006F34BD"/>
    <w:rsid w:val="006F3548"/>
    <w:rsid w:val="006F3556"/>
    <w:rsid w:val="006F3B5E"/>
    <w:rsid w:val="006F4C24"/>
    <w:rsid w:val="006F55B9"/>
    <w:rsid w:val="006F560E"/>
    <w:rsid w:val="006F5B8B"/>
    <w:rsid w:val="006F6840"/>
    <w:rsid w:val="006F71BB"/>
    <w:rsid w:val="00700AA1"/>
    <w:rsid w:val="00700B1F"/>
    <w:rsid w:val="007016B4"/>
    <w:rsid w:val="00702EC8"/>
    <w:rsid w:val="0070380B"/>
    <w:rsid w:val="00703957"/>
    <w:rsid w:val="00705283"/>
    <w:rsid w:val="0070559D"/>
    <w:rsid w:val="00705A85"/>
    <w:rsid w:val="00706598"/>
    <w:rsid w:val="00706688"/>
    <w:rsid w:val="00707E7B"/>
    <w:rsid w:val="007107C7"/>
    <w:rsid w:val="00710F91"/>
    <w:rsid w:val="00710FA2"/>
    <w:rsid w:val="0071127F"/>
    <w:rsid w:val="0071159A"/>
    <w:rsid w:val="00711703"/>
    <w:rsid w:val="0071185A"/>
    <w:rsid w:val="007121C1"/>
    <w:rsid w:val="0071234A"/>
    <w:rsid w:val="0071297C"/>
    <w:rsid w:val="007142EC"/>
    <w:rsid w:val="00715AC5"/>
    <w:rsid w:val="007160B2"/>
    <w:rsid w:val="00716439"/>
    <w:rsid w:val="00717535"/>
    <w:rsid w:val="00720166"/>
    <w:rsid w:val="007218F2"/>
    <w:rsid w:val="00721FEB"/>
    <w:rsid w:val="00723D1E"/>
    <w:rsid w:val="00724F5A"/>
    <w:rsid w:val="007252DF"/>
    <w:rsid w:val="00725688"/>
    <w:rsid w:val="0072757F"/>
    <w:rsid w:val="00730256"/>
    <w:rsid w:val="00730AF9"/>
    <w:rsid w:val="00731220"/>
    <w:rsid w:val="00731A73"/>
    <w:rsid w:val="0073318E"/>
    <w:rsid w:val="00733885"/>
    <w:rsid w:val="0073416B"/>
    <w:rsid w:val="007358F2"/>
    <w:rsid w:val="0073633E"/>
    <w:rsid w:val="00737797"/>
    <w:rsid w:val="00740C1A"/>
    <w:rsid w:val="00741293"/>
    <w:rsid w:val="00741646"/>
    <w:rsid w:val="007417E6"/>
    <w:rsid w:val="007438C1"/>
    <w:rsid w:val="00745159"/>
    <w:rsid w:val="00745A9E"/>
    <w:rsid w:val="00745F64"/>
    <w:rsid w:val="00747658"/>
    <w:rsid w:val="00747CDF"/>
    <w:rsid w:val="00751030"/>
    <w:rsid w:val="00751EFC"/>
    <w:rsid w:val="007522EA"/>
    <w:rsid w:val="00752D74"/>
    <w:rsid w:val="00752D8C"/>
    <w:rsid w:val="00753733"/>
    <w:rsid w:val="00753EC6"/>
    <w:rsid w:val="0075417A"/>
    <w:rsid w:val="00754BA0"/>
    <w:rsid w:val="00755BBD"/>
    <w:rsid w:val="007561FA"/>
    <w:rsid w:val="007562B1"/>
    <w:rsid w:val="0075684E"/>
    <w:rsid w:val="00757BB1"/>
    <w:rsid w:val="007601D7"/>
    <w:rsid w:val="0076026E"/>
    <w:rsid w:val="00760315"/>
    <w:rsid w:val="0076047E"/>
    <w:rsid w:val="0076177B"/>
    <w:rsid w:val="00762728"/>
    <w:rsid w:val="0076410A"/>
    <w:rsid w:val="00764152"/>
    <w:rsid w:val="0076465F"/>
    <w:rsid w:val="00764E96"/>
    <w:rsid w:val="00765A80"/>
    <w:rsid w:val="00765B25"/>
    <w:rsid w:val="007664A9"/>
    <w:rsid w:val="00767433"/>
    <w:rsid w:val="00767EDC"/>
    <w:rsid w:val="00770A78"/>
    <w:rsid w:val="007712AC"/>
    <w:rsid w:val="0077150A"/>
    <w:rsid w:val="00771B2E"/>
    <w:rsid w:val="00771BAB"/>
    <w:rsid w:val="00771CA2"/>
    <w:rsid w:val="00772165"/>
    <w:rsid w:val="00772A55"/>
    <w:rsid w:val="00773CBA"/>
    <w:rsid w:val="00773D5A"/>
    <w:rsid w:val="007753EF"/>
    <w:rsid w:val="0077591F"/>
    <w:rsid w:val="00775A7A"/>
    <w:rsid w:val="007761AF"/>
    <w:rsid w:val="0077658E"/>
    <w:rsid w:val="00776CE7"/>
    <w:rsid w:val="007801AC"/>
    <w:rsid w:val="007803A7"/>
    <w:rsid w:val="00780C08"/>
    <w:rsid w:val="00780FAA"/>
    <w:rsid w:val="00782A84"/>
    <w:rsid w:val="007830D9"/>
    <w:rsid w:val="007833EE"/>
    <w:rsid w:val="00783786"/>
    <w:rsid w:val="00784139"/>
    <w:rsid w:val="00784432"/>
    <w:rsid w:val="007863FA"/>
    <w:rsid w:val="00787B11"/>
    <w:rsid w:val="00790B78"/>
    <w:rsid w:val="00791FCB"/>
    <w:rsid w:val="00792566"/>
    <w:rsid w:val="007925BA"/>
    <w:rsid w:val="007926F1"/>
    <w:rsid w:val="007932C1"/>
    <w:rsid w:val="007937F6"/>
    <w:rsid w:val="00793EEE"/>
    <w:rsid w:val="00795661"/>
    <w:rsid w:val="007967E2"/>
    <w:rsid w:val="0079680E"/>
    <w:rsid w:val="00796AEC"/>
    <w:rsid w:val="00796CBD"/>
    <w:rsid w:val="007A0E9D"/>
    <w:rsid w:val="007A1156"/>
    <w:rsid w:val="007A1EE7"/>
    <w:rsid w:val="007A1FFC"/>
    <w:rsid w:val="007A24E4"/>
    <w:rsid w:val="007A323E"/>
    <w:rsid w:val="007A4FD2"/>
    <w:rsid w:val="007A51D2"/>
    <w:rsid w:val="007A5457"/>
    <w:rsid w:val="007A62AD"/>
    <w:rsid w:val="007A6D1C"/>
    <w:rsid w:val="007A70F3"/>
    <w:rsid w:val="007B0BC3"/>
    <w:rsid w:val="007B1519"/>
    <w:rsid w:val="007B199C"/>
    <w:rsid w:val="007B3276"/>
    <w:rsid w:val="007B46FB"/>
    <w:rsid w:val="007B50D1"/>
    <w:rsid w:val="007B528D"/>
    <w:rsid w:val="007B58D2"/>
    <w:rsid w:val="007B5EF6"/>
    <w:rsid w:val="007B60AA"/>
    <w:rsid w:val="007B6ACD"/>
    <w:rsid w:val="007B6DD9"/>
    <w:rsid w:val="007B7132"/>
    <w:rsid w:val="007C0BCF"/>
    <w:rsid w:val="007C0D04"/>
    <w:rsid w:val="007C1E33"/>
    <w:rsid w:val="007C2972"/>
    <w:rsid w:val="007C2E4A"/>
    <w:rsid w:val="007C482F"/>
    <w:rsid w:val="007C48B3"/>
    <w:rsid w:val="007C57D4"/>
    <w:rsid w:val="007C5A14"/>
    <w:rsid w:val="007C5B7A"/>
    <w:rsid w:val="007C5CEF"/>
    <w:rsid w:val="007C638C"/>
    <w:rsid w:val="007C6E5A"/>
    <w:rsid w:val="007C6F41"/>
    <w:rsid w:val="007C7986"/>
    <w:rsid w:val="007C7E0A"/>
    <w:rsid w:val="007D02CF"/>
    <w:rsid w:val="007D1308"/>
    <w:rsid w:val="007D158F"/>
    <w:rsid w:val="007D1682"/>
    <w:rsid w:val="007D1DC2"/>
    <w:rsid w:val="007D1E38"/>
    <w:rsid w:val="007D251C"/>
    <w:rsid w:val="007D3570"/>
    <w:rsid w:val="007D3C9D"/>
    <w:rsid w:val="007D4066"/>
    <w:rsid w:val="007D4B26"/>
    <w:rsid w:val="007D5355"/>
    <w:rsid w:val="007D5A1D"/>
    <w:rsid w:val="007D6DE1"/>
    <w:rsid w:val="007D71CD"/>
    <w:rsid w:val="007D7EC4"/>
    <w:rsid w:val="007E028F"/>
    <w:rsid w:val="007E0456"/>
    <w:rsid w:val="007E06F2"/>
    <w:rsid w:val="007E081E"/>
    <w:rsid w:val="007E0C08"/>
    <w:rsid w:val="007E0C1B"/>
    <w:rsid w:val="007E1CBA"/>
    <w:rsid w:val="007E2209"/>
    <w:rsid w:val="007E27E2"/>
    <w:rsid w:val="007E32C5"/>
    <w:rsid w:val="007E46C4"/>
    <w:rsid w:val="007E4834"/>
    <w:rsid w:val="007E52A1"/>
    <w:rsid w:val="007E60D3"/>
    <w:rsid w:val="007E7804"/>
    <w:rsid w:val="007E7A12"/>
    <w:rsid w:val="007E7ED7"/>
    <w:rsid w:val="007F0508"/>
    <w:rsid w:val="007F238B"/>
    <w:rsid w:val="007F3C3B"/>
    <w:rsid w:val="007F4661"/>
    <w:rsid w:val="007F4C34"/>
    <w:rsid w:val="007F5BE6"/>
    <w:rsid w:val="007F6377"/>
    <w:rsid w:val="0080204D"/>
    <w:rsid w:val="008020DD"/>
    <w:rsid w:val="008023D7"/>
    <w:rsid w:val="0080564F"/>
    <w:rsid w:val="00807AFD"/>
    <w:rsid w:val="00807CB1"/>
    <w:rsid w:val="00810036"/>
    <w:rsid w:val="008108AA"/>
    <w:rsid w:val="008108DC"/>
    <w:rsid w:val="008109E4"/>
    <w:rsid w:val="00810AF5"/>
    <w:rsid w:val="00811CBE"/>
    <w:rsid w:val="00811F31"/>
    <w:rsid w:val="00812164"/>
    <w:rsid w:val="00812C5B"/>
    <w:rsid w:val="00813F3C"/>
    <w:rsid w:val="0081412C"/>
    <w:rsid w:val="008154B2"/>
    <w:rsid w:val="008158C2"/>
    <w:rsid w:val="00815F8C"/>
    <w:rsid w:val="008171F7"/>
    <w:rsid w:val="00817F10"/>
    <w:rsid w:val="00820561"/>
    <w:rsid w:val="008207F4"/>
    <w:rsid w:val="00821626"/>
    <w:rsid w:val="00822596"/>
    <w:rsid w:val="008237B1"/>
    <w:rsid w:val="00826782"/>
    <w:rsid w:val="00826BF9"/>
    <w:rsid w:val="00826F60"/>
    <w:rsid w:val="00827203"/>
    <w:rsid w:val="00827684"/>
    <w:rsid w:val="00830E50"/>
    <w:rsid w:val="00831419"/>
    <w:rsid w:val="00831905"/>
    <w:rsid w:val="00832A99"/>
    <w:rsid w:val="00832CBC"/>
    <w:rsid w:val="00832FD2"/>
    <w:rsid w:val="00835151"/>
    <w:rsid w:val="00835317"/>
    <w:rsid w:val="0083532D"/>
    <w:rsid w:val="00835591"/>
    <w:rsid w:val="00835734"/>
    <w:rsid w:val="008358F9"/>
    <w:rsid w:val="00836061"/>
    <w:rsid w:val="00836352"/>
    <w:rsid w:val="00836777"/>
    <w:rsid w:val="00837879"/>
    <w:rsid w:val="00840189"/>
    <w:rsid w:val="008404CD"/>
    <w:rsid w:val="008411D0"/>
    <w:rsid w:val="00842386"/>
    <w:rsid w:val="00843481"/>
    <w:rsid w:val="0084380B"/>
    <w:rsid w:val="00843CF9"/>
    <w:rsid w:val="008441A2"/>
    <w:rsid w:val="00844629"/>
    <w:rsid w:val="00844FFB"/>
    <w:rsid w:val="008455AE"/>
    <w:rsid w:val="00846599"/>
    <w:rsid w:val="00846F65"/>
    <w:rsid w:val="00847EC6"/>
    <w:rsid w:val="0085005F"/>
    <w:rsid w:val="00850C68"/>
    <w:rsid w:val="0085159E"/>
    <w:rsid w:val="00852011"/>
    <w:rsid w:val="00852728"/>
    <w:rsid w:val="00852B1B"/>
    <w:rsid w:val="00852CF6"/>
    <w:rsid w:val="00852ED1"/>
    <w:rsid w:val="00853CA6"/>
    <w:rsid w:val="00854433"/>
    <w:rsid w:val="008545D3"/>
    <w:rsid w:val="0085547E"/>
    <w:rsid w:val="008561C6"/>
    <w:rsid w:val="008577AE"/>
    <w:rsid w:val="00857A57"/>
    <w:rsid w:val="00857E01"/>
    <w:rsid w:val="008607A6"/>
    <w:rsid w:val="00861CD5"/>
    <w:rsid w:val="008623F5"/>
    <w:rsid w:val="008624DE"/>
    <w:rsid w:val="008628B2"/>
    <w:rsid w:val="00862B9D"/>
    <w:rsid w:val="00863A0F"/>
    <w:rsid w:val="00864A9C"/>
    <w:rsid w:val="00866541"/>
    <w:rsid w:val="00867630"/>
    <w:rsid w:val="00871C7B"/>
    <w:rsid w:val="008727F5"/>
    <w:rsid w:val="00873630"/>
    <w:rsid w:val="00873847"/>
    <w:rsid w:val="00873CAB"/>
    <w:rsid w:val="008742D9"/>
    <w:rsid w:val="0087566F"/>
    <w:rsid w:val="00875B05"/>
    <w:rsid w:val="00875E30"/>
    <w:rsid w:val="008806F4"/>
    <w:rsid w:val="00880CB0"/>
    <w:rsid w:val="0088144E"/>
    <w:rsid w:val="0088273B"/>
    <w:rsid w:val="00882CFF"/>
    <w:rsid w:val="00883E04"/>
    <w:rsid w:val="00884BB1"/>
    <w:rsid w:val="00885C74"/>
    <w:rsid w:val="008866B3"/>
    <w:rsid w:val="00887407"/>
    <w:rsid w:val="00887DBB"/>
    <w:rsid w:val="00890220"/>
    <w:rsid w:val="00890583"/>
    <w:rsid w:val="0089353B"/>
    <w:rsid w:val="00893A41"/>
    <w:rsid w:val="00893AB1"/>
    <w:rsid w:val="00893C6C"/>
    <w:rsid w:val="00894460"/>
    <w:rsid w:val="008945D5"/>
    <w:rsid w:val="008950BC"/>
    <w:rsid w:val="00895CE3"/>
    <w:rsid w:val="008960C4"/>
    <w:rsid w:val="00896831"/>
    <w:rsid w:val="008972A1"/>
    <w:rsid w:val="00897E3A"/>
    <w:rsid w:val="008A0DDB"/>
    <w:rsid w:val="008A272A"/>
    <w:rsid w:val="008A2FF9"/>
    <w:rsid w:val="008A3918"/>
    <w:rsid w:val="008A46D0"/>
    <w:rsid w:val="008A4D74"/>
    <w:rsid w:val="008A7217"/>
    <w:rsid w:val="008B024E"/>
    <w:rsid w:val="008B1F55"/>
    <w:rsid w:val="008B3EA7"/>
    <w:rsid w:val="008B4338"/>
    <w:rsid w:val="008B44B3"/>
    <w:rsid w:val="008B6538"/>
    <w:rsid w:val="008B69BC"/>
    <w:rsid w:val="008B701B"/>
    <w:rsid w:val="008C1245"/>
    <w:rsid w:val="008C15D7"/>
    <w:rsid w:val="008C2F55"/>
    <w:rsid w:val="008C30BD"/>
    <w:rsid w:val="008C3433"/>
    <w:rsid w:val="008C37FA"/>
    <w:rsid w:val="008C3C68"/>
    <w:rsid w:val="008C5517"/>
    <w:rsid w:val="008C55E5"/>
    <w:rsid w:val="008C6B03"/>
    <w:rsid w:val="008C7A93"/>
    <w:rsid w:val="008C7D08"/>
    <w:rsid w:val="008D23D7"/>
    <w:rsid w:val="008D24A2"/>
    <w:rsid w:val="008D3574"/>
    <w:rsid w:val="008D395B"/>
    <w:rsid w:val="008D445D"/>
    <w:rsid w:val="008D4CF0"/>
    <w:rsid w:val="008D5DA6"/>
    <w:rsid w:val="008D5F3A"/>
    <w:rsid w:val="008E07EB"/>
    <w:rsid w:val="008E0A75"/>
    <w:rsid w:val="008E14C9"/>
    <w:rsid w:val="008E279C"/>
    <w:rsid w:val="008E2D45"/>
    <w:rsid w:val="008E2FDA"/>
    <w:rsid w:val="008E313B"/>
    <w:rsid w:val="008E4340"/>
    <w:rsid w:val="008E4F89"/>
    <w:rsid w:val="008E5AE3"/>
    <w:rsid w:val="008E5F1F"/>
    <w:rsid w:val="008E78DD"/>
    <w:rsid w:val="008E7B6E"/>
    <w:rsid w:val="008F0D69"/>
    <w:rsid w:val="008F2176"/>
    <w:rsid w:val="008F3516"/>
    <w:rsid w:val="008F3C86"/>
    <w:rsid w:val="008F3C99"/>
    <w:rsid w:val="008F4C37"/>
    <w:rsid w:val="008F5B44"/>
    <w:rsid w:val="008F7DA8"/>
    <w:rsid w:val="00901696"/>
    <w:rsid w:val="009016B9"/>
    <w:rsid w:val="0090183F"/>
    <w:rsid w:val="00901A1F"/>
    <w:rsid w:val="00901F91"/>
    <w:rsid w:val="009023D6"/>
    <w:rsid w:val="0090281E"/>
    <w:rsid w:val="009028C4"/>
    <w:rsid w:val="00902B49"/>
    <w:rsid w:val="00902D39"/>
    <w:rsid w:val="0090377A"/>
    <w:rsid w:val="0090389E"/>
    <w:rsid w:val="00904B5D"/>
    <w:rsid w:val="00904C38"/>
    <w:rsid w:val="00904DA0"/>
    <w:rsid w:val="00904EA4"/>
    <w:rsid w:val="00905ECB"/>
    <w:rsid w:val="009078D8"/>
    <w:rsid w:val="00907BA7"/>
    <w:rsid w:val="00910269"/>
    <w:rsid w:val="00910733"/>
    <w:rsid w:val="00910E82"/>
    <w:rsid w:val="0091278A"/>
    <w:rsid w:val="009138F3"/>
    <w:rsid w:val="009139A2"/>
    <w:rsid w:val="00913C86"/>
    <w:rsid w:val="00913FC6"/>
    <w:rsid w:val="009149E3"/>
    <w:rsid w:val="00915E76"/>
    <w:rsid w:val="00916427"/>
    <w:rsid w:val="0092095F"/>
    <w:rsid w:val="00920D7B"/>
    <w:rsid w:val="00921046"/>
    <w:rsid w:val="0092238D"/>
    <w:rsid w:val="00923698"/>
    <w:rsid w:val="0092395E"/>
    <w:rsid w:val="00923ECC"/>
    <w:rsid w:val="00924B04"/>
    <w:rsid w:val="00925170"/>
    <w:rsid w:val="0092538B"/>
    <w:rsid w:val="0092573C"/>
    <w:rsid w:val="00926714"/>
    <w:rsid w:val="00927187"/>
    <w:rsid w:val="0092727D"/>
    <w:rsid w:val="0092762A"/>
    <w:rsid w:val="00931889"/>
    <w:rsid w:val="0093218B"/>
    <w:rsid w:val="009327EB"/>
    <w:rsid w:val="009340E4"/>
    <w:rsid w:val="009343B2"/>
    <w:rsid w:val="0093461B"/>
    <w:rsid w:val="00934F36"/>
    <w:rsid w:val="00934FCB"/>
    <w:rsid w:val="00935221"/>
    <w:rsid w:val="0093574D"/>
    <w:rsid w:val="00935998"/>
    <w:rsid w:val="00935C1A"/>
    <w:rsid w:val="00936065"/>
    <w:rsid w:val="009364C4"/>
    <w:rsid w:val="009367C6"/>
    <w:rsid w:val="00937387"/>
    <w:rsid w:val="009376B5"/>
    <w:rsid w:val="009413D7"/>
    <w:rsid w:val="00942A25"/>
    <w:rsid w:val="00942D13"/>
    <w:rsid w:val="00943DE9"/>
    <w:rsid w:val="009447F3"/>
    <w:rsid w:val="00944F6B"/>
    <w:rsid w:val="00945030"/>
    <w:rsid w:val="00945C75"/>
    <w:rsid w:val="009461A1"/>
    <w:rsid w:val="00946F28"/>
    <w:rsid w:val="00947375"/>
    <w:rsid w:val="0094769D"/>
    <w:rsid w:val="00952105"/>
    <w:rsid w:val="0095290E"/>
    <w:rsid w:val="00952F3A"/>
    <w:rsid w:val="00952FE9"/>
    <w:rsid w:val="00953FEB"/>
    <w:rsid w:val="00954BD8"/>
    <w:rsid w:val="00955487"/>
    <w:rsid w:val="009555C0"/>
    <w:rsid w:val="009568FC"/>
    <w:rsid w:val="00957996"/>
    <w:rsid w:val="00960BCF"/>
    <w:rsid w:val="00961115"/>
    <w:rsid w:val="00961583"/>
    <w:rsid w:val="009619CF"/>
    <w:rsid w:val="0096327E"/>
    <w:rsid w:val="009636F0"/>
    <w:rsid w:val="0096402D"/>
    <w:rsid w:val="00965008"/>
    <w:rsid w:val="009654BF"/>
    <w:rsid w:val="009667A1"/>
    <w:rsid w:val="00967874"/>
    <w:rsid w:val="00967C57"/>
    <w:rsid w:val="00967F72"/>
    <w:rsid w:val="009705F0"/>
    <w:rsid w:val="00970AF3"/>
    <w:rsid w:val="00970F70"/>
    <w:rsid w:val="00971DF7"/>
    <w:rsid w:val="009725AB"/>
    <w:rsid w:val="009727A9"/>
    <w:rsid w:val="00972883"/>
    <w:rsid w:val="009739B5"/>
    <w:rsid w:val="00973A7C"/>
    <w:rsid w:val="00973B50"/>
    <w:rsid w:val="00973B97"/>
    <w:rsid w:val="00973E76"/>
    <w:rsid w:val="0097517A"/>
    <w:rsid w:val="0097758A"/>
    <w:rsid w:val="009778E7"/>
    <w:rsid w:val="00980497"/>
    <w:rsid w:val="00982D06"/>
    <w:rsid w:val="00982F97"/>
    <w:rsid w:val="009841FA"/>
    <w:rsid w:val="00985FD8"/>
    <w:rsid w:val="00986D20"/>
    <w:rsid w:val="0099001A"/>
    <w:rsid w:val="009904BC"/>
    <w:rsid w:val="00990E91"/>
    <w:rsid w:val="00991235"/>
    <w:rsid w:val="00992840"/>
    <w:rsid w:val="00992E64"/>
    <w:rsid w:val="009931DC"/>
    <w:rsid w:val="009935D3"/>
    <w:rsid w:val="009936A7"/>
    <w:rsid w:val="00993D6C"/>
    <w:rsid w:val="00993F85"/>
    <w:rsid w:val="009951CA"/>
    <w:rsid w:val="009954EF"/>
    <w:rsid w:val="009957CD"/>
    <w:rsid w:val="009969E1"/>
    <w:rsid w:val="00996AF0"/>
    <w:rsid w:val="009A03CB"/>
    <w:rsid w:val="009A08D4"/>
    <w:rsid w:val="009A0B43"/>
    <w:rsid w:val="009A0EE2"/>
    <w:rsid w:val="009A119B"/>
    <w:rsid w:val="009A15C3"/>
    <w:rsid w:val="009A39B1"/>
    <w:rsid w:val="009A4499"/>
    <w:rsid w:val="009A4F74"/>
    <w:rsid w:val="009A5C8F"/>
    <w:rsid w:val="009A5D70"/>
    <w:rsid w:val="009A7181"/>
    <w:rsid w:val="009A743D"/>
    <w:rsid w:val="009A7B97"/>
    <w:rsid w:val="009B0817"/>
    <w:rsid w:val="009B0923"/>
    <w:rsid w:val="009B15C1"/>
    <w:rsid w:val="009B24D1"/>
    <w:rsid w:val="009B30D9"/>
    <w:rsid w:val="009B361E"/>
    <w:rsid w:val="009B38DB"/>
    <w:rsid w:val="009B4096"/>
    <w:rsid w:val="009B4275"/>
    <w:rsid w:val="009B6C7C"/>
    <w:rsid w:val="009B6DBA"/>
    <w:rsid w:val="009B6EC6"/>
    <w:rsid w:val="009B7A68"/>
    <w:rsid w:val="009B7ADB"/>
    <w:rsid w:val="009C0151"/>
    <w:rsid w:val="009C0245"/>
    <w:rsid w:val="009C117D"/>
    <w:rsid w:val="009C189F"/>
    <w:rsid w:val="009C2620"/>
    <w:rsid w:val="009C4408"/>
    <w:rsid w:val="009C564C"/>
    <w:rsid w:val="009C5BD5"/>
    <w:rsid w:val="009C5E72"/>
    <w:rsid w:val="009C695D"/>
    <w:rsid w:val="009C758A"/>
    <w:rsid w:val="009D024B"/>
    <w:rsid w:val="009D0289"/>
    <w:rsid w:val="009D0681"/>
    <w:rsid w:val="009D12E3"/>
    <w:rsid w:val="009D316D"/>
    <w:rsid w:val="009D3AB7"/>
    <w:rsid w:val="009D40CB"/>
    <w:rsid w:val="009D5759"/>
    <w:rsid w:val="009D5B69"/>
    <w:rsid w:val="009D5CFC"/>
    <w:rsid w:val="009D6704"/>
    <w:rsid w:val="009D708B"/>
    <w:rsid w:val="009D7963"/>
    <w:rsid w:val="009D79E2"/>
    <w:rsid w:val="009D7ADF"/>
    <w:rsid w:val="009E0121"/>
    <w:rsid w:val="009E07B7"/>
    <w:rsid w:val="009E07C9"/>
    <w:rsid w:val="009E0813"/>
    <w:rsid w:val="009E2479"/>
    <w:rsid w:val="009E3123"/>
    <w:rsid w:val="009E3651"/>
    <w:rsid w:val="009E3D84"/>
    <w:rsid w:val="009E41A0"/>
    <w:rsid w:val="009E41AD"/>
    <w:rsid w:val="009E5E09"/>
    <w:rsid w:val="009E65D5"/>
    <w:rsid w:val="009E6C94"/>
    <w:rsid w:val="009E7679"/>
    <w:rsid w:val="009F1392"/>
    <w:rsid w:val="009F25E8"/>
    <w:rsid w:val="009F3DE6"/>
    <w:rsid w:val="009F3EF4"/>
    <w:rsid w:val="009F3FE0"/>
    <w:rsid w:val="009F443D"/>
    <w:rsid w:val="009F4E20"/>
    <w:rsid w:val="009F5363"/>
    <w:rsid w:val="009F5641"/>
    <w:rsid w:val="009F5BB2"/>
    <w:rsid w:val="009F65E8"/>
    <w:rsid w:val="009F6C1A"/>
    <w:rsid w:val="009F6EBE"/>
    <w:rsid w:val="009F79B1"/>
    <w:rsid w:val="00A00CC9"/>
    <w:rsid w:val="00A026A2"/>
    <w:rsid w:val="00A04347"/>
    <w:rsid w:val="00A04F57"/>
    <w:rsid w:val="00A05A7D"/>
    <w:rsid w:val="00A05AC6"/>
    <w:rsid w:val="00A05CAD"/>
    <w:rsid w:val="00A07773"/>
    <w:rsid w:val="00A07820"/>
    <w:rsid w:val="00A1013B"/>
    <w:rsid w:val="00A10688"/>
    <w:rsid w:val="00A11110"/>
    <w:rsid w:val="00A112EB"/>
    <w:rsid w:val="00A11B42"/>
    <w:rsid w:val="00A12CDF"/>
    <w:rsid w:val="00A12E6B"/>
    <w:rsid w:val="00A13088"/>
    <w:rsid w:val="00A135D8"/>
    <w:rsid w:val="00A13623"/>
    <w:rsid w:val="00A13888"/>
    <w:rsid w:val="00A139E4"/>
    <w:rsid w:val="00A14B5E"/>
    <w:rsid w:val="00A14DEB"/>
    <w:rsid w:val="00A15EA1"/>
    <w:rsid w:val="00A16FCA"/>
    <w:rsid w:val="00A17439"/>
    <w:rsid w:val="00A2049F"/>
    <w:rsid w:val="00A2082F"/>
    <w:rsid w:val="00A219F3"/>
    <w:rsid w:val="00A220B3"/>
    <w:rsid w:val="00A228F4"/>
    <w:rsid w:val="00A2293F"/>
    <w:rsid w:val="00A237E3"/>
    <w:rsid w:val="00A23A35"/>
    <w:rsid w:val="00A249C8"/>
    <w:rsid w:val="00A2560C"/>
    <w:rsid w:val="00A2603A"/>
    <w:rsid w:val="00A260A0"/>
    <w:rsid w:val="00A305F0"/>
    <w:rsid w:val="00A30D72"/>
    <w:rsid w:val="00A340F2"/>
    <w:rsid w:val="00A34908"/>
    <w:rsid w:val="00A349AE"/>
    <w:rsid w:val="00A3553E"/>
    <w:rsid w:val="00A35874"/>
    <w:rsid w:val="00A370C2"/>
    <w:rsid w:val="00A37A03"/>
    <w:rsid w:val="00A37B7A"/>
    <w:rsid w:val="00A401BB"/>
    <w:rsid w:val="00A4025D"/>
    <w:rsid w:val="00A40684"/>
    <w:rsid w:val="00A40F76"/>
    <w:rsid w:val="00A415A1"/>
    <w:rsid w:val="00A41A74"/>
    <w:rsid w:val="00A41A82"/>
    <w:rsid w:val="00A426D8"/>
    <w:rsid w:val="00A436D2"/>
    <w:rsid w:val="00A438E1"/>
    <w:rsid w:val="00A44BD7"/>
    <w:rsid w:val="00A4540C"/>
    <w:rsid w:val="00A45EC8"/>
    <w:rsid w:val="00A45FD2"/>
    <w:rsid w:val="00A47327"/>
    <w:rsid w:val="00A47BFB"/>
    <w:rsid w:val="00A50D2E"/>
    <w:rsid w:val="00A512E2"/>
    <w:rsid w:val="00A51C10"/>
    <w:rsid w:val="00A5210F"/>
    <w:rsid w:val="00A53261"/>
    <w:rsid w:val="00A53277"/>
    <w:rsid w:val="00A5355F"/>
    <w:rsid w:val="00A54DFB"/>
    <w:rsid w:val="00A5551A"/>
    <w:rsid w:val="00A56ABE"/>
    <w:rsid w:val="00A56EAE"/>
    <w:rsid w:val="00A57213"/>
    <w:rsid w:val="00A57361"/>
    <w:rsid w:val="00A60978"/>
    <w:rsid w:val="00A60D13"/>
    <w:rsid w:val="00A61F8C"/>
    <w:rsid w:val="00A62671"/>
    <w:rsid w:val="00A628E7"/>
    <w:rsid w:val="00A63B92"/>
    <w:rsid w:val="00A63F41"/>
    <w:rsid w:val="00A6499B"/>
    <w:rsid w:val="00A6543F"/>
    <w:rsid w:val="00A66F52"/>
    <w:rsid w:val="00A67092"/>
    <w:rsid w:val="00A67A5D"/>
    <w:rsid w:val="00A67D9A"/>
    <w:rsid w:val="00A70220"/>
    <w:rsid w:val="00A71F80"/>
    <w:rsid w:val="00A73C83"/>
    <w:rsid w:val="00A73C9D"/>
    <w:rsid w:val="00A760F8"/>
    <w:rsid w:val="00A76D57"/>
    <w:rsid w:val="00A80245"/>
    <w:rsid w:val="00A803C1"/>
    <w:rsid w:val="00A82B96"/>
    <w:rsid w:val="00A83AB1"/>
    <w:rsid w:val="00A84992"/>
    <w:rsid w:val="00A86651"/>
    <w:rsid w:val="00A901BE"/>
    <w:rsid w:val="00A91E43"/>
    <w:rsid w:val="00A92267"/>
    <w:rsid w:val="00A92543"/>
    <w:rsid w:val="00A92581"/>
    <w:rsid w:val="00A928DE"/>
    <w:rsid w:val="00A93E9E"/>
    <w:rsid w:val="00A9437B"/>
    <w:rsid w:val="00A94445"/>
    <w:rsid w:val="00A95334"/>
    <w:rsid w:val="00A9555D"/>
    <w:rsid w:val="00A95B07"/>
    <w:rsid w:val="00A95DB6"/>
    <w:rsid w:val="00A962CB"/>
    <w:rsid w:val="00A969F2"/>
    <w:rsid w:val="00A97CAB"/>
    <w:rsid w:val="00AA0933"/>
    <w:rsid w:val="00AA29EA"/>
    <w:rsid w:val="00AA356B"/>
    <w:rsid w:val="00AA37EC"/>
    <w:rsid w:val="00AA3F37"/>
    <w:rsid w:val="00AA5C79"/>
    <w:rsid w:val="00AA6874"/>
    <w:rsid w:val="00AA6A5F"/>
    <w:rsid w:val="00AA7034"/>
    <w:rsid w:val="00AA7C0E"/>
    <w:rsid w:val="00AB0C44"/>
    <w:rsid w:val="00AB0CB9"/>
    <w:rsid w:val="00AB1C3B"/>
    <w:rsid w:val="00AB1E8D"/>
    <w:rsid w:val="00AB2A9B"/>
    <w:rsid w:val="00AB4C5D"/>
    <w:rsid w:val="00AB4EAE"/>
    <w:rsid w:val="00AB5C64"/>
    <w:rsid w:val="00AB5E5B"/>
    <w:rsid w:val="00AB6422"/>
    <w:rsid w:val="00AB6C85"/>
    <w:rsid w:val="00AB700A"/>
    <w:rsid w:val="00AB7190"/>
    <w:rsid w:val="00AB73E7"/>
    <w:rsid w:val="00AC05D5"/>
    <w:rsid w:val="00AC19B4"/>
    <w:rsid w:val="00AC1A5A"/>
    <w:rsid w:val="00AC200C"/>
    <w:rsid w:val="00AC296E"/>
    <w:rsid w:val="00AC33A3"/>
    <w:rsid w:val="00AC3D88"/>
    <w:rsid w:val="00AC4158"/>
    <w:rsid w:val="00AC4511"/>
    <w:rsid w:val="00AC497B"/>
    <w:rsid w:val="00AC4EF4"/>
    <w:rsid w:val="00AC5C1E"/>
    <w:rsid w:val="00AC62DC"/>
    <w:rsid w:val="00AC62E0"/>
    <w:rsid w:val="00AC6A0E"/>
    <w:rsid w:val="00AC6DD9"/>
    <w:rsid w:val="00AC726B"/>
    <w:rsid w:val="00AD0731"/>
    <w:rsid w:val="00AD0E7A"/>
    <w:rsid w:val="00AD0EAE"/>
    <w:rsid w:val="00AD1506"/>
    <w:rsid w:val="00AD2E51"/>
    <w:rsid w:val="00AD3520"/>
    <w:rsid w:val="00AD3B3E"/>
    <w:rsid w:val="00AD40B0"/>
    <w:rsid w:val="00AD6629"/>
    <w:rsid w:val="00AD6D40"/>
    <w:rsid w:val="00AD6E1B"/>
    <w:rsid w:val="00AD7988"/>
    <w:rsid w:val="00AE12FB"/>
    <w:rsid w:val="00AE2523"/>
    <w:rsid w:val="00AE2B06"/>
    <w:rsid w:val="00AE38C7"/>
    <w:rsid w:val="00AE3BF0"/>
    <w:rsid w:val="00AE3D64"/>
    <w:rsid w:val="00AE3F96"/>
    <w:rsid w:val="00AE3FE8"/>
    <w:rsid w:val="00AE42A1"/>
    <w:rsid w:val="00AE42CD"/>
    <w:rsid w:val="00AE5AE1"/>
    <w:rsid w:val="00AF0CE2"/>
    <w:rsid w:val="00AF1194"/>
    <w:rsid w:val="00AF38AA"/>
    <w:rsid w:val="00AF511A"/>
    <w:rsid w:val="00AF5E2A"/>
    <w:rsid w:val="00AF5E58"/>
    <w:rsid w:val="00AF757C"/>
    <w:rsid w:val="00AF7C41"/>
    <w:rsid w:val="00B00A94"/>
    <w:rsid w:val="00B00D5B"/>
    <w:rsid w:val="00B0116A"/>
    <w:rsid w:val="00B02344"/>
    <w:rsid w:val="00B02828"/>
    <w:rsid w:val="00B02A4D"/>
    <w:rsid w:val="00B02A6B"/>
    <w:rsid w:val="00B03FF6"/>
    <w:rsid w:val="00B056B3"/>
    <w:rsid w:val="00B05B26"/>
    <w:rsid w:val="00B05D48"/>
    <w:rsid w:val="00B05DC2"/>
    <w:rsid w:val="00B06381"/>
    <w:rsid w:val="00B06ADF"/>
    <w:rsid w:val="00B075A9"/>
    <w:rsid w:val="00B07DFF"/>
    <w:rsid w:val="00B10704"/>
    <w:rsid w:val="00B10CB4"/>
    <w:rsid w:val="00B11D2F"/>
    <w:rsid w:val="00B120DD"/>
    <w:rsid w:val="00B12D1A"/>
    <w:rsid w:val="00B12F4E"/>
    <w:rsid w:val="00B14888"/>
    <w:rsid w:val="00B15A18"/>
    <w:rsid w:val="00B162D6"/>
    <w:rsid w:val="00B16897"/>
    <w:rsid w:val="00B1758C"/>
    <w:rsid w:val="00B2098B"/>
    <w:rsid w:val="00B21043"/>
    <w:rsid w:val="00B21091"/>
    <w:rsid w:val="00B210FE"/>
    <w:rsid w:val="00B21DCA"/>
    <w:rsid w:val="00B21FED"/>
    <w:rsid w:val="00B223D8"/>
    <w:rsid w:val="00B23386"/>
    <w:rsid w:val="00B23392"/>
    <w:rsid w:val="00B2403D"/>
    <w:rsid w:val="00B25039"/>
    <w:rsid w:val="00B255F3"/>
    <w:rsid w:val="00B263DF"/>
    <w:rsid w:val="00B27AF9"/>
    <w:rsid w:val="00B27DEE"/>
    <w:rsid w:val="00B27E9A"/>
    <w:rsid w:val="00B31082"/>
    <w:rsid w:val="00B32F4F"/>
    <w:rsid w:val="00B33D13"/>
    <w:rsid w:val="00B34267"/>
    <w:rsid w:val="00B34AC4"/>
    <w:rsid w:val="00B34F45"/>
    <w:rsid w:val="00B35929"/>
    <w:rsid w:val="00B37C3C"/>
    <w:rsid w:val="00B4020A"/>
    <w:rsid w:val="00B4041F"/>
    <w:rsid w:val="00B40AA0"/>
    <w:rsid w:val="00B41662"/>
    <w:rsid w:val="00B41EC8"/>
    <w:rsid w:val="00B4279C"/>
    <w:rsid w:val="00B42C1F"/>
    <w:rsid w:val="00B44A57"/>
    <w:rsid w:val="00B4639D"/>
    <w:rsid w:val="00B46837"/>
    <w:rsid w:val="00B4713E"/>
    <w:rsid w:val="00B47344"/>
    <w:rsid w:val="00B47981"/>
    <w:rsid w:val="00B500A3"/>
    <w:rsid w:val="00B50411"/>
    <w:rsid w:val="00B516A8"/>
    <w:rsid w:val="00B51956"/>
    <w:rsid w:val="00B51B05"/>
    <w:rsid w:val="00B529AE"/>
    <w:rsid w:val="00B532FF"/>
    <w:rsid w:val="00B533DD"/>
    <w:rsid w:val="00B536DF"/>
    <w:rsid w:val="00B5437F"/>
    <w:rsid w:val="00B54AEE"/>
    <w:rsid w:val="00B54F2D"/>
    <w:rsid w:val="00B5568E"/>
    <w:rsid w:val="00B55A2F"/>
    <w:rsid w:val="00B55B71"/>
    <w:rsid w:val="00B55D4D"/>
    <w:rsid w:val="00B56138"/>
    <w:rsid w:val="00B5635A"/>
    <w:rsid w:val="00B56F86"/>
    <w:rsid w:val="00B57159"/>
    <w:rsid w:val="00B600C7"/>
    <w:rsid w:val="00B60763"/>
    <w:rsid w:val="00B60792"/>
    <w:rsid w:val="00B60C27"/>
    <w:rsid w:val="00B61BF7"/>
    <w:rsid w:val="00B61E34"/>
    <w:rsid w:val="00B62B56"/>
    <w:rsid w:val="00B62D22"/>
    <w:rsid w:val="00B638EE"/>
    <w:rsid w:val="00B63E7B"/>
    <w:rsid w:val="00B642E4"/>
    <w:rsid w:val="00B64401"/>
    <w:rsid w:val="00B652BE"/>
    <w:rsid w:val="00B66578"/>
    <w:rsid w:val="00B67668"/>
    <w:rsid w:val="00B67E00"/>
    <w:rsid w:val="00B67E3F"/>
    <w:rsid w:val="00B70027"/>
    <w:rsid w:val="00B702DC"/>
    <w:rsid w:val="00B70FB6"/>
    <w:rsid w:val="00B71B71"/>
    <w:rsid w:val="00B71C37"/>
    <w:rsid w:val="00B727E2"/>
    <w:rsid w:val="00B72958"/>
    <w:rsid w:val="00B743C0"/>
    <w:rsid w:val="00B746A6"/>
    <w:rsid w:val="00B74DF4"/>
    <w:rsid w:val="00B74E3B"/>
    <w:rsid w:val="00B755F0"/>
    <w:rsid w:val="00B76E9E"/>
    <w:rsid w:val="00B76F32"/>
    <w:rsid w:val="00B77937"/>
    <w:rsid w:val="00B804F5"/>
    <w:rsid w:val="00B80657"/>
    <w:rsid w:val="00B808CE"/>
    <w:rsid w:val="00B80AD0"/>
    <w:rsid w:val="00B815AA"/>
    <w:rsid w:val="00B81962"/>
    <w:rsid w:val="00B82454"/>
    <w:rsid w:val="00B8301D"/>
    <w:rsid w:val="00B844C7"/>
    <w:rsid w:val="00B84C4B"/>
    <w:rsid w:val="00B85130"/>
    <w:rsid w:val="00B856DD"/>
    <w:rsid w:val="00B85BBD"/>
    <w:rsid w:val="00B8619C"/>
    <w:rsid w:val="00B866A1"/>
    <w:rsid w:val="00B86C0B"/>
    <w:rsid w:val="00B86D67"/>
    <w:rsid w:val="00B86FC8"/>
    <w:rsid w:val="00B906AA"/>
    <w:rsid w:val="00B9177C"/>
    <w:rsid w:val="00B91B21"/>
    <w:rsid w:val="00B92A37"/>
    <w:rsid w:val="00B92A76"/>
    <w:rsid w:val="00B93525"/>
    <w:rsid w:val="00B9398F"/>
    <w:rsid w:val="00B945D2"/>
    <w:rsid w:val="00B9589E"/>
    <w:rsid w:val="00B958D7"/>
    <w:rsid w:val="00B96544"/>
    <w:rsid w:val="00B967B9"/>
    <w:rsid w:val="00B969CC"/>
    <w:rsid w:val="00B96E3A"/>
    <w:rsid w:val="00B97E58"/>
    <w:rsid w:val="00BA02A3"/>
    <w:rsid w:val="00BA036F"/>
    <w:rsid w:val="00BA073D"/>
    <w:rsid w:val="00BA0DCF"/>
    <w:rsid w:val="00BA1671"/>
    <w:rsid w:val="00BA2026"/>
    <w:rsid w:val="00BA4620"/>
    <w:rsid w:val="00BA4B74"/>
    <w:rsid w:val="00BA53AA"/>
    <w:rsid w:val="00BA53C2"/>
    <w:rsid w:val="00BA5E00"/>
    <w:rsid w:val="00BB01F4"/>
    <w:rsid w:val="00BB1ED9"/>
    <w:rsid w:val="00BB2C7F"/>
    <w:rsid w:val="00BB2E64"/>
    <w:rsid w:val="00BB425E"/>
    <w:rsid w:val="00BB4557"/>
    <w:rsid w:val="00BB45A9"/>
    <w:rsid w:val="00BB4B2F"/>
    <w:rsid w:val="00BB4B95"/>
    <w:rsid w:val="00BB4FF6"/>
    <w:rsid w:val="00BB536E"/>
    <w:rsid w:val="00BB5778"/>
    <w:rsid w:val="00BB6C47"/>
    <w:rsid w:val="00BB799D"/>
    <w:rsid w:val="00BC1ADE"/>
    <w:rsid w:val="00BC2ECB"/>
    <w:rsid w:val="00BC323A"/>
    <w:rsid w:val="00BC52BF"/>
    <w:rsid w:val="00BC5432"/>
    <w:rsid w:val="00BC7BB0"/>
    <w:rsid w:val="00BC7E99"/>
    <w:rsid w:val="00BD01E0"/>
    <w:rsid w:val="00BD12D4"/>
    <w:rsid w:val="00BD1C6E"/>
    <w:rsid w:val="00BD28B0"/>
    <w:rsid w:val="00BD2C84"/>
    <w:rsid w:val="00BD3678"/>
    <w:rsid w:val="00BD453D"/>
    <w:rsid w:val="00BD4EFB"/>
    <w:rsid w:val="00BD57E1"/>
    <w:rsid w:val="00BD5E17"/>
    <w:rsid w:val="00BD6CF2"/>
    <w:rsid w:val="00BD7039"/>
    <w:rsid w:val="00BD7188"/>
    <w:rsid w:val="00BD7AB4"/>
    <w:rsid w:val="00BD7B7F"/>
    <w:rsid w:val="00BE0293"/>
    <w:rsid w:val="00BE056E"/>
    <w:rsid w:val="00BE1279"/>
    <w:rsid w:val="00BE1F55"/>
    <w:rsid w:val="00BE34AD"/>
    <w:rsid w:val="00BE4E4D"/>
    <w:rsid w:val="00BE5C24"/>
    <w:rsid w:val="00BE61F2"/>
    <w:rsid w:val="00BE7154"/>
    <w:rsid w:val="00BE7625"/>
    <w:rsid w:val="00BF03A6"/>
    <w:rsid w:val="00BF0DBF"/>
    <w:rsid w:val="00BF0E07"/>
    <w:rsid w:val="00BF12EF"/>
    <w:rsid w:val="00BF2513"/>
    <w:rsid w:val="00BF41EC"/>
    <w:rsid w:val="00BF4534"/>
    <w:rsid w:val="00BF52BF"/>
    <w:rsid w:val="00BF52E3"/>
    <w:rsid w:val="00BF61C3"/>
    <w:rsid w:val="00BF6454"/>
    <w:rsid w:val="00BF7FF4"/>
    <w:rsid w:val="00C0000A"/>
    <w:rsid w:val="00C00379"/>
    <w:rsid w:val="00C0231E"/>
    <w:rsid w:val="00C03339"/>
    <w:rsid w:val="00C0360D"/>
    <w:rsid w:val="00C03EA2"/>
    <w:rsid w:val="00C0513A"/>
    <w:rsid w:val="00C0736A"/>
    <w:rsid w:val="00C104C1"/>
    <w:rsid w:val="00C1095E"/>
    <w:rsid w:val="00C10DD6"/>
    <w:rsid w:val="00C11637"/>
    <w:rsid w:val="00C1164C"/>
    <w:rsid w:val="00C1195A"/>
    <w:rsid w:val="00C126FD"/>
    <w:rsid w:val="00C13243"/>
    <w:rsid w:val="00C14A36"/>
    <w:rsid w:val="00C14A51"/>
    <w:rsid w:val="00C150F5"/>
    <w:rsid w:val="00C15B50"/>
    <w:rsid w:val="00C15D62"/>
    <w:rsid w:val="00C15DD2"/>
    <w:rsid w:val="00C1647F"/>
    <w:rsid w:val="00C16DAB"/>
    <w:rsid w:val="00C17CE2"/>
    <w:rsid w:val="00C213FD"/>
    <w:rsid w:val="00C214AD"/>
    <w:rsid w:val="00C215C0"/>
    <w:rsid w:val="00C21A6A"/>
    <w:rsid w:val="00C21D61"/>
    <w:rsid w:val="00C22215"/>
    <w:rsid w:val="00C223B9"/>
    <w:rsid w:val="00C22497"/>
    <w:rsid w:val="00C233AB"/>
    <w:rsid w:val="00C236D2"/>
    <w:rsid w:val="00C25391"/>
    <w:rsid w:val="00C25F44"/>
    <w:rsid w:val="00C2700A"/>
    <w:rsid w:val="00C30B2B"/>
    <w:rsid w:val="00C30BD1"/>
    <w:rsid w:val="00C3195A"/>
    <w:rsid w:val="00C31AC0"/>
    <w:rsid w:val="00C31D9A"/>
    <w:rsid w:val="00C32659"/>
    <w:rsid w:val="00C32BDF"/>
    <w:rsid w:val="00C331D1"/>
    <w:rsid w:val="00C334FA"/>
    <w:rsid w:val="00C35F0A"/>
    <w:rsid w:val="00C41673"/>
    <w:rsid w:val="00C4202D"/>
    <w:rsid w:val="00C4216B"/>
    <w:rsid w:val="00C42786"/>
    <w:rsid w:val="00C43AB2"/>
    <w:rsid w:val="00C44057"/>
    <w:rsid w:val="00C44252"/>
    <w:rsid w:val="00C46DC3"/>
    <w:rsid w:val="00C475CF"/>
    <w:rsid w:val="00C47E62"/>
    <w:rsid w:val="00C50563"/>
    <w:rsid w:val="00C5057A"/>
    <w:rsid w:val="00C50C74"/>
    <w:rsid w:val="00C513CA"/>
    <w:rsid w:val="00C5198B"/>
    <w:rsid w:val="00C54AB6"/>
    <w:rsid w:val="00C5535A"/>
    <w:rsid w:val="00C576A5"/>
    <w:rsid w:val="00C57C29"/>
    <w:rsid w:val="00C61583"/>
    <w:rsid w:val="00C61615"/>
    <w:rsid w:val="00C6174B"/>
    <w:rsid w:val="00C61A7E"/>
    <w:rsid w:val="00C628DE"/>
    <w:rsid w:val="00C62F69"/>
    <w:rsid w:val="00C63828"/>
    <w:rsid w:val="00C64986"/>
    <w:rsid w:val="00C64CBF"/>
    <w:rsid w:val="00C65A7F"/>
    <w:rsid w:val="00C70763"/>
    <w:rsid w:val="00C715EE"/>
    <w:rsid w:val="00C71F06"/>
    <w:rsid w:val="00C74131"/>
    <w:rsid w:val="00C74D99"/>
    <w:rsid w:val="00C76994"/>
    <w:rsid w:val="00C77846"/>
    <w:rsid w:val="00C77F96"/>
    <w:rsid w:val="00C80A5C"/>
    <w:rsid w:val="00C81347"/>
    <w:rsid w:val="00C818F1"/>
    <w:rsid w:val="00C81F4C"/>
    <w:rsid w:val="00C82832"/>
    <w:rsid w:val="00C82884"/>
    <w:rsid w:val="00C82895"/>
    <w:rsid w:val="00C83441"/>
    <w:rsid w:val="00C83E60"/>
    <w:rsid w:val="00C846B1"/>
    <w:rsid w:val="00C84FAF"/>
    <w:rsid w:val="00C874BE"/>
    <w:rsid w:val="00C878B6"/>
    <w:rsid w:val="00C901E0"/>
    <w:rsid w:val="00C907B4"/>
    <w:rsid w:val="00C90D5E"/>
    <w:rsid w:val="00C91655"/>
    <w:rsid w:val="00C9175D"/>
    <w:rsid w:val="00C9525F"/>
    <w:rsid w:val="00C95F6D"/>
    <w:rsid w:val="00C9635A"/>
    <w:rsid w:val="00C968EA"/>
    <w:rsid w:val="00C976AB"/>
    <w:rsid w:val="00C97987"/>
    <w:rsid w:val="00CA02C8"/>
    <w:rsid w:val="00CA2128"/>
    <w:rsid w:val="00CA49F2"/>
    <w:rsid w:val="00CA4CB4"/>
    <w:rsid w:val="00CA5A66"/>
    <w:rsid w:val="00CA5CBE"/>
    <w:rsid w:val="00CB164F"/>
    <w:rsid w:val="00CB398A"/>
    <w:rsid w:val="00CB3E10"/>
    <w:rsid w:val="00CB45C0"/>
    <w:rsid w:val="00CB50D6"/>
    <w:rsid w:val="00CB5A7D"/>
    <w:rsid w:val="00CB7818"/>
    <w:rsid w:val="00CC0872"/>
    <w:rsid w:val="00CC08E2"/>
    <w:rsid w:val="00CC12B5"/>
    <w:rsid w:val="00CC1400"/>
    <w:rsid w:val="00CC1BF4"/>
    <w:rsid w:val="00CC1F3D"/>
    <w:rsid w:val="00CC2358"/>
    <w:rsid w:val="00CC2CCA"/>
    <w:rsid w:val="00CC2E5F"/>
    <w:rsid w:val="00CC30A6"/>
    <w:rsid w:val="00CC312A"/>
    <w:rsid w:val="00CC32F5"/>
    <w:rsid w:val="00CC351F"/>
    <w:rsid w:val="00CC43A2"/>
    <w:rsid w:val="00CC51FF"/>
    <w:rsid w:val="00CC6447"/>
    <w:rsid w:val="00CC6C52"/>
    <w:rsid w:val="00CC6D2F"/>
    <w:rsid w:val="00CC7BAB"/>
    <w:rsid w:val="00CD034C"/>
    <w:rsid w:val="00CD1546"/>
    <w:rsid w:val="00CD1CA4"/>
    <w:rsid w:val="00CD21C2"/>
    <w:rsid w:val="00CD2710"/>
    <w:rsid w:val="00CD2A68"/>
    <w:rsid w:val="00CD2D18"/>
    <w:rsid w:val="00CD3424"/>
    <w:rsid w:val="00CD38D1"/>
    <w:rsid w:val="00CD4813"/>
    <w:rsid w:val="00CD4850"/>
    <w:rsid w:val="00CD4BA2"/>
    <w:rsid w:val="00CD55FA"/>
    <w:rsid w:val="00CD5D3A"/>
    <w:rsid w:val="00CD6084"/>
    <w:rsid w:val="00CD68D4"/>
    <w:rsid w:val="00CD6ECA"/>
    <w:rsid w:val="00CD7037"/>
    <w:rsid w:val="00CD7381"/>
    <w:rsid w:val="00CD76F8"/>
    <w:rsid w:val="00CD7A6C"/>
    <w:rsid w:val="00CE00AA"/>
    <w:rsid w:val="00CE07EC"/>
    <w:rsid w:val="00CE1088"/>
    <w:rsid w:val="00CE2A1B"/>
    <w:rsid w:val="00CE3149"/>
    <w:rsid w:val="00CE4AD2"/>
    <w:rsid w:val="00CE4FA5"/>
    <w:rsid w:val="00CE5306"/>
    <w:rsid w:val="00CE59BA"/>
    <w:rsid w:val="00CE639C"/>
    <w:rsid w:val="00CE6536"/>
    <w:rsid w:val="00CE6DCE"/>
    <w:rsid w:val="00CF2ED9"/>
    <w:rsid w:val="00CF34BC"/>
    <w:rsid w:val="00CF380C"/>
    <w:rsid w:val="00CF3A8C"/>
    <w:rsid w:val="00CF4A04"/>
    <w:rsid w:val="00CF4BDA"/>
    <w:rsid w:val="00CF587E"/>
    <w:rsid w:val="00CF62F2"/>
    <w:rsid w:val="00CF6307"/>
    <w:rsid w:val="00CF6965"/>
    <w:rsid w:val="00CF7AB7"/>
    <w:rsid w:val="00D0052B"/>
    <w:rsid w:val="00D00AFA"/>
    <w:rsid w:val="00D01361"/>
    <w:rsid w:val="00D01CA6"/>
    <w:rsid w:val="00D02162"/>
    <w:rsid w:val="00D021F2"/>
    <w:rsid w:val="00D02FB2"/>
    <w:rsid w:val="00D04E21"/>
    <w:rsid w:val="00D05EE6"/>
    <w:rsid w:val="00D06E94"/>
    <w:rsid w:val="00D074C7"/>
    <w:rsid w:val="00D07BFD"/>
    <w:rsid w:val="00D07F2F"/>
    <w:rsid w:val="00D10CD0"/>
    <w:rsid w:val="00D10E55"/>
    <w:rsid w:val="00D12438"/>
    <w:rsid w:val="00D12C32"/>
    <w:rsid w:val="00D1335B"/>
    <w:rsid w:val="00D1340B"/>
    <w:rsid w:val="00D13543"/>
    <w:rsid w:val="00D1392F"/>
    <w:rsid w:val="00D144C5"/>
    <w:rsid w:val="00D14746"/>
    <w:rsid w:val="00D14C3D"/>
    <w:rsid w:val="00D152EE"/>
    <w:rsid w:val="00D1545B"/>
    <w:rsid w:val="00D15594"/>
    <w:rsid w:val="00D1563D"/>
    <w:rsid w:val="00D168EE"/>
    <w:rsid w:val="00D171EA"/>
    <w:rsid w:val="00D214FD"/>
    <w:rsid w:val="00D2205C"/>
    <w:rsid w:val="00D2221C"/>
    <w:rsid w:val="00D22372"/>
    <w:rsid w:val="00D244A5"/>
    <w:rsid w:val="00D244E3"/>
    <w:rsid w:val="00D244FB"/>
    <w:rsid w:val="00D24542"/>
    <w:rsid w:val="00D25B5C"/>
    <w:rsid w:val="00D25B76"/>
    <w:rsid w:val="00D25DDC"/>
    <w:rsid w:val="00D268FB"/>
    <w:rsid w:val="00D3007A"/>
    <w:rsid w:val="00D30190"/>
    <w:rsid w:val="00D3245D"/>
    <w:rsid w:val="00D335DD"/>
    <w:rsid w:val="00D34C49"/>
    <w:rsid w:val="00D34FA8"/>
    <w:rsid w:val="00D361C2"/>
    <w:rsid w:val="00D3691D"/>
    <w:rsid w:val="00D37766"/>
    <w:rsid w:val="00D37C8E"/>
    <w:rsid w:val="00D37F7A"/>
    <w:rsid w:val="00D40501"/>
    <w:rsid w:val="00D4081F"/>
    <w:rsid w:val="00D4165B"/>
    <w:rsid w:val="00D416F2"/>
    <w:rsid w:val="00D427BE"/>
    <w:rsid w:val="00D43BC6"/>
    <w:rsid w:val="00D43EDE"/>
    <w:rsid w:val="00D442E6"/>
    <w:rsid w:val="00D45714"/>
    <w:rsid w:val="00D4611E"/>
    <w:rsid w:val="00D46327"/>
    <w:rsid w:val="00D46B0B"/>
    <w:rsid w:val="00D46BD1"/>
    <w:rsid w:val="00D46D11"/>
    <w:rsid w:val="00D478E5"/>
    <w:rsid w:val="00D47C54"/>
    <w:rsid w:val="00D47F7F"/>
    <w:rsid w:val="00D502F0"/>
    <w:rsid w:val="00D50626"/>
    <w:rsid w:val="00D52379"/>
    <w:rsid w:val="00D53E2C"/>
    <w:rsid w:val="00D555B2"/>
    <w:rsid w:val="00D557E8"/>
    <w:rsid w:val="00D55F9F"/>
    <w:rsid w:val="00D56DBD"/>
    <w:rsid w:val="00D5724E"/>
    <w:rsid w:val="00D60407"/>
    <w:rsid w:val="00D60DF0"/>
    <w:rsid w:val="00D63A24"/>
    <w:rsid w:val="00D63B74"/>
    <w:rsid w:val="00D669D3"/>
    <w:rsid w:val="00D66C6C"/>
    <w:rsid w:val="00D66E29"/>
    <w:rsid w:val="00D670E7"/>
    <w:rsid w:val="00D70FB2"/>
    <w:rsid w:val="00D70FD9"/>
    <w:rsid w:val="00D71045"/>
    <w:rsid w:val="00D712AC"/>
    <w:rsid w:val="00D71EFB"/>
    <w:rsid w:val="00D73161"/>
    <w:rsid w:val="00D73B94"/>
    <w:rsid w:val="00D75C17"/>
    <w:rsid w:val="00D765D5"/>
    <w:rsid w:val="00D7780C"/>
    <w:rsid w:val="00D77861"/>
    <w:rsid w:val="00D77D46"/>
    <w:rsid w:val="00D800CA"/>
    <w:rsid w:val="00D81447"/>
    <w:rsid w:val="00D81681"/>
    <w:rsid w:val="00D8170B"/>
    <w:rsid w:val="00D81BD4"/>
    <w:rsid w:val="00D81E2D"/>
    <w:rsid w:val="00D81EDF"/>
    <w:rsid w:val="00D82408"/>
    <w:rsid w:val="00D82500"/>
    <w:rsid w:val="00D82648"/>
    <w:rsid w:val="00D8265D"/>
    <w:rsid w:val="00D83991"/>
    <w:rsid w:val="00D83B7B"/>
    <w:rsid w:val="00D84C9C"/>
    <w:rsid w:val="00D85FA3"/>
    <w:rsid w:val="00D86F8D"/>
    <w:rsid w:val="00D87065"/>
    <w:rsid w:val="00D87C16"/>
    <w:rsid w:val="00D90632"/>
    <w:rsid w:val="00D910E2"/>
    <w:rsid w:val="00D917E3"/>
    <w:rsid w:val="00D91AB8"/>
    <w:rsid w:val="00D91B32"/>
    <w:rsid w:val="00D91D8B"/>
    <w:rsid w:val="00D922A5"/>
    <w:rsid w:val="00D92F22"/>
    <w:rsid w:val="00D935A2"/>
    <w:rsid w:val="00D94CBA"/>
    <w:rsid w:val="00D95F83"/>
    <w:rsid w:val="00D97467"/>
    <w:rsid w:val="00D9747F"/>
    <w:rsid w:val="00D9752F"/>
    <w:rsid w:val="00DA06FA"/>
    <w:rsid w:val="00DA1654"/>
    <w:rsid w:val="00DA2292"/>
    <w:rsid w:val="00DA2FCF"/>
    <w:rsid w:val="00DA45DF"/>
    <w:rsid w:val="00DA47D6"/>
    <w:rsid w:val="00DA4BA2"/>
    <w:rsid w:val="00DA5DC7"/>
    <w:rsid w:val="00DA617C"/>
    <w:rsid w:val="00DA6E92"/>
    <w:rsid w:val="00DA71D0"/>
    <w:rsid w:val="00DA7480"/>
    <w:rsid w:val="00DB0FAC"/>
    <w:rsid w:val="00DB2035"/>
    <w:rsid w:val="00DB2AF0"/>
    <w:rsid w:val="00DB2D46"/>
    <w:rsid w:val="00DB3F46"/>
    <w:rsid w:val="00DB4144"/>
    <w:rsid w:val="00DB4827"/>
    <w:rsid w:val="00DB4E9B"/>
    <w:rsid w:val="00DB50E8"/>
    <w:rsid w:val="00DB5600"/>
    <w:rsid w:val="00DB5946"/>
    <w:rsid w:val="00DB6653"/>
    <w:rsid w:val="00DB7856"/>
    <w:rsid w:val="00DB7F5A"/>
    <w:rsid w:val="00DC026C"/>
    <w:rsid w:val="00DC0E4C"/>
    <w:rsid w:val="00DC249A"/>
    <w:rsid w:val="00DC2884"/>
    <w:rsid w:val="00DC30BE"/>
    <w:rsid w:val="00DC34A1"/>
    <w:rsid w:val="00DC3E9A"/>
    <w:rsid w:val="00DC46EF"/>
    <w:rsid w:val="00DC5CA0"/>
    <w:rsid w:val="00DC72B3"/>
    <w:rsid w:val="00DD05C2"/>
    <w:rsid w:val="00DD211B"/>
    <w:rsid w:val="00DD253D"/>
    <w:rsid w:val="00DD272C"/>
    <w:rsid w:val="00DD30F6"/>
    <w:rsid w:val="00DD4320"/>
    <w:rsid w:val="00DD4D11"/>
    <w:rsid w:val="00DD5E40"/>
    <w:rsid w:val="00DD60D2"/>
    <w:rsid w:val="00DD78C6"/>
    <w:rsid w:val="00DD7F47"/>
    <w:rsid w:val="00DE04BC"/>
    <w:rsid w:val="00DE0E2D"/>
    <w:rsid w:val="00DE11D3"/>
    <w:rsid w:val="00DE191F"/>
    <w:rsid w:val="00DE2850"/>
    <w:rsid w:val="00DE298D"/>
    <w:rsid w:val="00DE2F48"/>
    <w:rsid w:val="00DE3404"/>
    <w:rsid w:val="00DE3A82"/>
    <w:rsid w:val="00DE482E"/>
    <w:rsid w:val="00DE4895"/>
    <w:rsid w:val="00DE5011"/>
    <w:rsid w:val="00DE5387"/>
    <w:rsid w:val="00DE5A83"/>
    <w:rsid w:val="00DE6D98"/>
    <w:rsid w:val="00DE7C60"/>
    <w:rsid w:val="00DE7CF3"/>
    <w:rsid w:val="00DF008D"/>
    <w:rsid w:val="00DF0E40"/>
    <w:rsid w:val="00DF15F8"/>
    <w:rsid w:val="00DF392E"/>
    <w:rsid w:val="00DF3979"/>
    <w:rsid w:val="00DF4759"/>
    <w:rsid w:val="00DF694B"/>
    <w:rsid w:val="00DF77F5"/>
    <w:rsid w:val="00DF7F7C"/>
    <w:rsid w:val="00E0044A"/>
    <w:rsid w:val="00E02FF2"/>
    <w:rsid w:val="00E030C3"/>
    <w:rsid w:val="00E0344A"/>
    <w:rsid w:val="00E039EC"/>
    <w:rsid w:val="00E03FF9"/>
    <w:rsid w:val="00E0423F"/>
    <w:rsid w:val="00E047C4"/>
    <w:rsid w:val="00E04D6D"/>
    <w:rsid w:val="00E05E87"/>
    <w:rsid w:val="00E0639A"/>
    <w:rsid w:val="00E0643F"/>
    <w:rsid w:val="00E06C20"/>
    <w:rsid w:val="00E103A3"/>
    <w:rsid w:val="00E10D57"/>
    <w:rsid w:val="00E11F5B"/>
    <w:rsid w:val="00E1270C"/>
    <w:rsid w:val="00E12C38"/>
    <w:rsid w:val="00E13032"/>
    <w:rsid w:val="00E153B2"/>
    <w:rsid w:val="00E1640F"/>
    <w:rsid w:val="00E16723"/>
    <w:rsid w:val="00E16BCB"/>
    <w:rsid w:val="00E16E97"/>
    <w:rsid w:val="00E17009"/>
    <w:rsid w:val="00E20C8A"/>
    <w:rsid w:val="00E20E7A"/>
    <w:rsid w:val="00E22C63"/>
    <w:rsid w:val="00E2557A"/>
    <w:rsid w:val="00E25948"/>
    <w:rsid w:val="00E25C7B"/>
    <w:rsid w:val="00E263EE"/>
    <w:rsid w:val="00E27146"/>
    <w:rsid w:val="00E2735B"/>
    <w:rsid w:val="00E31149"/>
    <w:rsid w:val="00E3381A"/>
    <w:rsid w:val="00E33D73"/>
    <w:rsid w:val="00E346BA"/>
    <w:rsid w:val="00E352F8"/>
    <w:rsid w:val="00E370C1"/>
    <w:rsid w:val="00E37900"/>
    <w:rsid w:val="00E379BD"/>
    <w:rsid w:val="00E37DE5"/>
    <w:rsid w:val="00E37FCA"/>
    <w:rsid w:val="00E40160"/>
    <w:rsid w:val="00E40D0D"/>
    <w:rsid w:val="00E425E3"/>
    <w:rsid w:val="00E44AFC"/>
    <w:rsid w:val="00E44E7D"/>
    <w:rsid w:val="00E44F58"/>
    <w:rsid w:val="00E451DB"/>
    <w:rsid w:val="00E4605E"/>
    <w:rsid w:val="00E477EC"/>
    <w:rsid w:val="00E50B0D"/>
    <w:rsid w:val="00E514F7"/>
    <w:rsid w:val="00E51B20"/>
    <w:rsid w:val="00E51CF4"/>
    <w:rsid w:val="00E52449"/>
    <w:rsid w:val="00E52850"/>
    <w:rsid w:val="00E5303E"/>
    <w:rsid w:val="00E55783"/>
    <w:rsid w:val="00E5691A"/>
    <w:rsid w:val="00E601B4"/>
    <w:rsid w:val="00E60E75"/>
    <w:rsid w:val="00E61F0F"/>
    <w:rsid w:val="00E629E5"/>
    <w:rsid w:val="00E6328B"/>
    <w:rsid w:val="00E63788"/>
    <w:rsid w:val="00E63EAE"/>
    <w:rsid w:val="00E6408E"/>
    <w:rsid w:val="00E642AC"/>
    <w:rsid w:val="00E64B56"/>
    <w:rsid w:val="00E64C15"/>
    <w:rsid w:val="00E64F43"/>
    <w:rsid w:val="00E65775"/>
    <w:rsid w:val="00E65AE8"/>
    <w:rsid w:val="00E6780A"/>
    <w:rsid w:val="00E6794D"/>
    <w:rsid w:val="00E713AC"/>
    <w:rsid w:val="00E71619"/>
    <w:rsid w:val="00E71B46"/>
    <w:rsid w:val="00E71D9A"/>
    <w:rsid w:val="00E720BA"/>
    <w:rsid w:val="00E727B0"/>
    <w:rsid w:val="00E731B1"/>
    <w:rsid w:val="00E73497"/>
    <w:rsid w:val="00E738AA"/>
    <w:rsid w:val="00E73CD1"/>
    <w:rsid w:val="00E743F7"/>
    <w:rsid w:val="00E749F2"/>
    <w:rsid w:val="00E7556F"/>
    <w:rsid w:val="00E75F5D"/>
    <w:rsid w:val="00E76E42"/>
    <w:rsid w:val="00E804BA"/>
    <w:rsid w:val="00E80AEB"/>
    <w:rsid w:val="00E80BDD"/>
    <w:rsid w:val="00E81440"/>
    <w:rsid w:val="00E82184"/>
    <w:rsid w:val="00E82801"/>
    <w:rsid w:val="00E85FD5"/>
    <w:rsid w:val="00E87931"/>
    <w:rsid w:val="00E87DC1"/>
    <w:rsid w:val="00E90097"/>
    <w:rsid w:val="00E90362"/>
    <w:rsid w:val="00E907B6"/>
    <w:rsid w:val="00E90B72"/>
    <w:rsid w:val="00E91311"/>
    <w:rsid w:val="00E91CA7"/>
    <w:rsid w:val="00E91EB5"/>
    <w:rsid w:val="00E9286B"/>
    <w:rsid w:val="00E93F71"/>
    <w:rsid w:val="00E952EF"/>
    <w:rsid w:val="00E95617"/>
    <w:rsid w:val="00E956A3"/>
    <w:rsid w:val="00E95915"/>
    <w:rsid w:val="00E962B3"/>
    <w:rsid w:val="00E96A1B"/>
    <w:rsid w:val="00E96FF0"/>
    <w:rsid w:val="00E978A3"/>
    <w:rsid w:val="00E97E9B"/>
    <w:rsid w:val="00EA0A9C"/>
    <w:rsid w:val="00EA0B0F"/>
    <w:rsid w:val="00EA0C16"/>
    <w:rsid w:val="00EA0C57"/>
    <w:rsid w:val="00EA0F33"/>
    <w:rsid w:val="00EA13E3"/>
    <w:rsid w:val="00EA14C0"/>
    <w:rsid w:val="00EA168C"/>
    <w:rsid w:val="00EA1A02"/>
    <w:rsid w:val="00EA2A61"/>
    <w:rsid w:val="00EA2F01"/>
    <w:rsid w:val="00EA2F5E"/>
    <w:rsid w:val="00EA3555"/>
    <w:rsid w:val="00EA35E2"/>
    <w:rsid w:val="00EA3BD7"/>
    <w:rsid w:val="00EA48AC"/>
    <w:rsid w:val="00EA4DF5"/>
    <w:rsid w:val="00EA58B9"/>
    <w:rsid w:val="00EA5B93"/>
    <w:rsid w:val="00EA63CA"/>
    <w:rsid w:val="00EA695A"/>
    <w:rsid w:val="00EA6A9B"/>
    <w:rsid w:val="00EA7194"/>
    <w:rsid w:val="00EA734C"/>
    <w:rsid w:val="00EA7392"/>
    <w:rsid w:val="00EA7A35"/>
    <w:rsid w:val="00EB02A5"/>
    <w:rsid w:val="00EB1057"/>
    <w:rsid w:val="00EB10E7"/>
    <w:rsid w:val="00EB150D"/>
    <w:rsid w:val="00EB21A4"/>
    <w:rsid w:val="00EB2332"/>
    <w:rsid w:val="00EB367F"/>
    <w:rsid w:val="00EB3AAF"/>
    <w:rsid w:val="00EB3FFD"/>
    <w:rsid w:val="00EB48D9"/>
    <w:rsid w:val="00EB4DD5"/>
    <w:rsid w:val="00EB4ED3"/>
    <w:rsid w:val="00EB60EB"/>
    <w:rsid w:val="00EB6463"/>
    <w:rsid w:val="00EB6479"/>
    <w:rsid w:val="00EB6F93"/>
    <w:rsid w:val="00EB7047"/>
    <w:rsid w:val="00EB7FE7"/>
    <w:rsid w:val="00EC1C1E"/>
    <w:rsid w:val="00EC5190"/>
    <w:rsid w:val="00EC5BF8"/>
    <w:rsid w:val="00EC5E20"/>
    <w:rsid w:val="00EC6440"/>
    <w:rsid w:val="00EC6732"/>
    <w:rsid w:val="00EC713C"/>
    <w:rsid w:val="00EC71C2"/>
    <w:rsid w:val="00ED074F"/>
    <w:rsid w:val="00ED0C1F"/>
    <w:rsid w:val="00ED163B"/>
    <w:rsid w:val="00ED1A91"/>
    <w:rsid w:val="00ED21D7"/>
    <w:rsid w:val="00ED2EBB"/>
    <w:rsid w:val="00ED4B25"/>
    <w:rsid w:val="00ED4D63"/>
    <w:rsid w:val="00ED5543"/>
    <w:rsid w:val="00ED6715"/>
    <w:rsid w:val="00ED6E26"/>
    <w:rsid w:val="00ED6E68"/>
    <w:rsid w:val="00ED7673"/>
    <w:rsid w:val="00EE098F"/>
    <w:rsid w:val="00EE1A64"/>
    <w:rsid w:val="00EE1B23"/>
    <w:rsid w:val="00EE1C60"/>
    <w:rsid w:val="00EE1FA9"/>
    <w:rsid w:val="00EE20E8"/>
    <w:rsid w:val="00EE2E7F"/>
    <w:rsid w:val="00EE3334"/>
    <w:rsid w:val="00EE40DF"/>
    <w:rsid w:val="00EE48B0"/>
    <w:rsid w:val="00EE5469"/>
    <w:rsid w:val="00EE5EBC"/>
    <w:rsid w:val="00EE5ED8"/>
    <w:rsid w:val="00EE748D"/>
    <w:rsid w:val="00EE7FBD"/>
    <w:rsid w:val="00EF02AB"/>
    <w:rsid w:val="00EF092D"/>
    <w:rsid w:val="00EF0B73"/>
    <w:rsid w:val="00EF12F0"/>
    <w:rsid w:val="00EF15D1"/>
    <w:rsid w:val="00EF1AF0"/>
    <w:rsid w:val="00EF23AA"/>
    <w:rsid w:val="00EF2442"/>
    <w:rsid w:val="00EF2F28"/>
    <w:rsid w:val="00EF31D1"/>
    <w:rsid w:val="00EF3435"/>
    <w:rsid w:val="00EF352E"/>
    <w:rsid w:val="00EF3C74"/>
    <w:rsid w:val="00EF44C3"/>
    <w:rsid w:val="00EF4963"/>
    <w:rsid w:val="00EF52A9"/>
    <w:rsid w:val="00EF57E6"/>
    <w:rsid w:val="00EF585C"/>
    <w:rsid w:val="00EF5C5C"/>
    <w:rsid w:val="00EF722D"/>
    <w:rsid w:val="00EF72A8"/>
    <w:rsid w:val="00EF79FD"/>
    <w:rsid w:val="00EF7C62"/>
    <w:rsid w:val="00F00ACF"/>
    <w:rsid w:val="00F00C12"/>
    <w:rsid w:val="00F00D79"/>
    <w:rsid w:val="00F0383A"/>
    <w:rsid w:val="00F0396C"/>
    <w:rsid w:val="00F03B27"/>
    <w:rsid w:val="00F048D5"/>
    <w:rsid w:val="00F055D8"/>
    <w:rsid w:val="00F05B23"/>
    <w:rsid w:val="00F05DB0"/>
    <w:rsid w:val="00F06011"/>
    <w:rsid w:val="00F06FF8"/>
    <w:rsid w:val="00F0741A"/>
    <w:rsid w:val="00F07502"/>
    <w:rsid w:val="00F07A3A"/>
    <w:rsid w:val="00F10E62"/>
    <w:rsid w:val="00F11418"/>
    <w:rsid w:val="00F11739"/>
    <w:rsid w:val="00F13152"/>
    <w:rsid w:val="00F134BF"/>
    <w:rsid w:val="00F13A5E"/>
    <w:rsid w:val="00F13FBC"/>
    <w:rsid w:val="00F147FA"/>
    <w:rsid w:val="00F14E1D"/>
    <w:rsid w:val="00F158C4"/>
    <w:rsid w:val="00F15BAA"/>
    <w:rsid w:val="00F15C94"/>
    <w:rsid w:val="00F1685B"/>
    <w:rsid w:val="00F16B12"/>
    <w:rsid w:val="00F16E3D"/>
    <w:rsid w:val="00F17031"/>
    <w:rsid w:val="00F17354"/>
    <w:rsid w:val="00F20BBF"/>
    <w:rsid w:val="00F20E21"/>
    <w:rsid w:val="00F211D0"/>
    <w:rsid w:val="00F2188E"/>
    <w:rsid w:val="00F21A7D"/>
    <w:rsid w:val="00F21BBA"/>
    <w:rsid w:val="00F22A3A"/>
    <w:rsid w:val="00F22E69"/>
    <w:rsid w:val="00F23F97"/>
    <w:rsid w:val="00F24EA9"/>
    <w:rsid w:val="00F256E6"/>
    <w:rsid w:val="00F257D0"/>
    <w:rsid w:val="00F262EA"/>
    <w:rsid w:val="00F26C26"/>
    <w:rsid w:val="00F27C67"/>
    <w:rsid w:val="00F30B9E"/>
    <w:rsid w:val="00F3112C"/>
    <w:rsid w:val="00F31CCF"/>
    <w:rsid w:val="00F32CFB"/>
    <w:rsid w:val="00F32D6A"/>
    <w:rsid w:val="00F32E94"/>
    <w:rsid w:val="00F32FC2"/>
    <w:rsid w:val="00F334EA"/>
    <w:rsid w:val="00F334FB"/>
    <w:rsid w:val="00F34ECF"/>
    <w:rsid w:val="00F34F99"/>
    <w:rsid w:val="00F35098"/>
    <w:rsid w:val="00F36A03"/>
    <w:rsid w:val="00F41000"/>
    <w:rsid w:val="00F41BF0"/>
    <w:rsid w:val="00F41C89"/>
    <w:rsid w:val="00F41FAE"/>
    <w:rsid w:val="00F424B9"/>
    <w:rsid w:val="00F427E6"/>
    <w:rsid w:val="00F43BAE"/>
    <w:rsid w:val="00F43F55"/>
    <w:rsid w:val="00F455C9"/>
    <w:rsid w:val="00F457B8"/>
    <w:rsid w:val="00F45AAE"/>
    <w:rsid w:val="00F46C2B"/>
    <w:rsid w:val="00F47042"/>
    <w:rsid w:val="00F505B6"/>
    <w:rsid w:val="00F50988"/>
    <w:rsid w:val="00F50F69"/>
    <w:rsid w:val="00F51543"/>
    <w:rsid w:val="00F515B8"/>
    <w:rsid w:val="00F516C3"/>
    <w:rsid w:val="00F521A5"/>
    <w:rsid w:val="00F5252B"/>
    <w:rsid w:val="00F52D53"/>
    <w:rsid w:val="00F53E73"/>
    <w:rsid w:val="00F55621"/>
    <w:rsid w:val="00F55FD4"/>
    <w:rsid w:val="00F57604"/>
    <w:rsid w:val="00F60A07"/>
    <w:rsid w:val="00F60C99"/>
    <w:rsid w:val="00F61945"/>
    <w:rsid w:val="00F622AE"/>
    <w:rsid w:val="00F63093"/>
    <w:rsid w:val="00F632EB"/>
    <w:rsid w:val="00F64073"/>
    <w:rsid w:val="00F6507C"/>
    <w:rsid w:val="00F66B6B"/>
    <w:rsid w:val="00F6775D"/>
    <w:rsid w:val="00F70E28"/>
    <w:rsid w:val="00F712CC"/>
    <w:rsid w:val="00F72209"/>
    <w:rsid w:val="00F72C07"/>
    <w:rsid w:val="00F73D97"/>
    <w:rsid w:val="00F76224"/>
    <w:rsid w:val="00F7709A"/>
    <w:rsid w:val="00F77391"/>
    <w:rsid w:val="00F77DD2"/>
    <w:rsid w:val="00F8128F"/>
    <w:rsid w:val="00F818AB"/>
    <w:rsid w:val="00F852AD"/>
    <w:rsid w:val="00F85DB7"/>
    <w:rsid w:val="00F870A3"/>
    <w:rsid w:val="00F877CE"/>
    <w:rsid w:val="00F87EC5"/>
    <w:rsid w:val="00F91925"/>
    <w:rsid w:val="00F91A7A"/>
    <w:rsid w:val="00F91EEB"/>
    <w:rsid w:val="00F91F1C"/>
    <w:rsid w:val="00F92B47"/>
    <w:rsid w:val="00F92C98"/>
    <w:rsid w:val="00F92E62"/>
    <w:rsid w:val="00F92FEE"/>
    <w:rsid w:val="00F93501"/>
    <w:rsid w:val="00F93F48"/>
    <w:rsid w:val="00F9464B"/>
    <w:rsid w:val="00F94AD2"/>
    <w:rsid w:val="00F95156"/>
    <w:rsid w:val="00F9526B"/>
    <w:rsid w:val="00F96C4D"/>
    <w:rsid w:val="00F96CE3"/>
    <w:rsid w:val="00F9700A"/>
    <w:rsid w:val="00F976B5"/>
    <w:rsid w:val="00F97B9A"/>
    <w:rsid w:val="00F97C27"/>
    <w:rsid w:val="00FA0385"/>
    <w:rsid w:val="00FA09E7"/>
    <w:rsid w:val="00FA1438"/>
    <w:rsid w:val="00FA17B7"/>
    <w:rsid w:val="00FA186C"/>
    <w:rsid w:val="00FA24E9"/>
    <w:rsid w:val="00FA3424"/>
    <w:rsid w:val="00FA4842"/>
    <w:rsid w:val="00FA4C39"/>
    <w:rsid w:val="00FA5DFB"/>
    <w:rsid w:val="00FA5E96"/>
    <w:rsid w:val="00FA6F28"/>
    <w:rsid w:val="00FA71A8"/>
    <w:rsid w:val="00FB0B2C"/>
    <w:rsid w:val="00FB1809"/>
    <w:rsid w:val="00FB1BAA"/>
    <w:rsid w:val="00FB1F57"/>
    <w:rsid w:val="00FB1FAE"/>
    <w:rsid w:val="00FB3553"/>
    <w:rsid w:val="00FB36F9"/>
    <w:rsid w:val="00FB6059"/>
    <w:rsid w:val="00FB62D9"/>
    <w:rsid w:val="00FB6E45"/>
    <w:rsid w:val="00FB705D"/>
    <w:rsid w:val="00FB761C"/>
    <w:rsid w:val="00FB7CFF"/>
    <w:rsid w:val="00FC1406"/>
    <w:rsid w:val="00FC1A20"/>
    <w:rsid w:val="00FC26A2"/>
    <w:rsid w:val="00FC2700"/>
    <w:rsid w:val="00FC29AB"/>
    <w:rsid w:val="00FC4B24"/>
    <w:rsid w:val="00FC4DCC"/>
    <w:rsid w:val="00FC6D11"/>
    <w:rsid w:val="00FD03DB"/>
    <w:rsid w:val="00FD06C4"/>
    <w:rsid w:val="00FD082B"/>
    <w:rsid w:val="00FD0A79"/>
    <w:rsid w:val="00FD10BC"/>
    <w:rsid w:val="00FD174E"/>
    <w:rsid w:val="00FD206C"/>
    <w:rsid w:val="00FD239D"/>
    <w:rsid w:val="00FD31E6"/>
    <w:rsid w:val="00FD3D90"/>
    <w:rsid w:val="00FD3E72"/>
    <w:rsid w:val="00FD4D0A"/>
    <w:rsid w:val="00FD582D"/>
    <w:rsid w:val="00FD5A32"/>
    <w:rsid w:val="00FD5ECA"/>
    <w:rsid w:val="00FD67A2"/>
    <w:rsid w:val="00FD793C"/>
    <w:rsid w:val="00FE0515"/>
    <w:rsid w:val="00FE081B"/>
    <w:rsid w:val="00FE0B5C"/>
    <w:rsid w:val="00FE0F2A"/>
    <w:rsid w:val="00FE176A"/>
    <w:rsid w:val="00FE1BDE"/>
    <w:rsid w:val="00FE1D93"/>
    <w:rsid w:val="00FE2C59"/>
    <w:rsid w:val="00FE2E1D"/>
    <w:rsid w:val="00FE30CF"/>
    <w:rsid w:val="00FE3176"/>
    <w:rsid w:val="00FE417C"/>
    <w:rsid w:val="00FE4195"/>
    <w:rsid w:val="00FE4F6A"/>
    <w:rsid w:val="00FE5670"/>
    <w:rsid w:val="00FE60D7"/>
    <w:rsid w:val="00FE615B"/>
    <w:rsid w:val="00FE646C"/>
    <w:rsid w:val="00FE6931"/>
    <w:rsid w:val="00FE69DC"/>
    <w:rsid w:val="00FE7D06"/>
    <w:rsid w:val="00FE7FBD"/>
    <w:rsid w:val="00FF17C2"/>
    <w:rsid w:val="00FF19FB"/>
    <w:rsid w:val="00FF1E4E"/>
    <w:rsid w:val="00FF2AF0"/>
    <w:rsid w:val="00FF3631"/>
    <w:rsid w:val="00FF425E"/>
    <w:rsid w:val="00FF4439"/>
    <w:rsid w:val="00FF476F"/>
    <w:rsid w:val="00FF4A51"/>
    <w:rsid w:val="00FF4BB2"/>
    <w:rsid w:val="00FF5567"/>
    <w:rsid w:val="00FF568D"/>
    <w:rsid w:val="00FF617E"/>
    <w:rsid w:val="00FF6780"/>
    <w:rsid w:val="00FF7F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1896A"/>
  <w15:docId w15:val="{AF654952-AAB8-DE43-BB3E-57F0F435F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F72"/>
    <w:rPr>
      <w:lang w:val="en-US"/>
    </w:rPr>
  </w:style>
  <w:style w:type="paragraph" w:styleId="Heading1">
    <w:name w:val="heading 1"/>
    <w:basedOn w:val="Normal"/>
    <w:next w:val="Normal"/>
    <w:uiPriority w:val="9"/>
    <w:qFormat/>
    <w:pPr>
      <w:keepNext/>
      <w:keepLines/>
      <w:spacing w:before="360" w:after="80" w:line="276" w:lineRule="auto"/>
      <w:ind w:firstLine="288"/>
      <w:jc w:val="both"/>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line="276" w:lineRule="auto"/>
      <w:ind w:firstLine="288"/>
      <w:jc w:val="both"/>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76" w:lineRule="auto"/>
      <w:ind w:firstLine="288"/>
      <w:jc w:val="both"/>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line="276" w:lineRule="auto"/>
      <w:ind w:firstLine="288"/>
      <w:jc w:val="both"/>
      <w:outlineLvl w:val="3"/>
    </w:pPr>
    <w:rPr>
      <w:rFonts w:ascii="Aptos" w:eastAsia="Aptos" w:hAnsi="Aptos" w:cs="Aptos"/>
      <w:i/>
      <w:color w:val="0F4761"/>
    </w:rPr>
  </w:style>
  <w:style w:type="paragraph" w:styleId="Heading5">
    <w:name w:val="heading 5"/>
    <w:basedOn w:val="Normal"/>
    <w:next w:val="Normal"/>
    <w:uiPriority w:val="9"/>
    <w:semiHidden/>
    <w:unhideWhenUsed/>
    <w:qFormat/>
    <w:pPr>
      <w:keepNext/>
      <w:keepLines/>
      <w:spacing w:before="80" w:after="40" w:line="276" w:lineRule="auto"/>
      <w:ind w:firstLine="288"/>
      <w:jc w:val="both"/>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line="276" w:lineRule="auto"/>
      <w:ind w:firstLine="288"/>
      <w:jc w:val="both"/>
      <w:outlineLvl w:val="5"/>
    </w:pPr>
    <w:rPr>
      <w:rFonts w:ascii="Aptos" w:eastAsia="Aptos" w:hAnsi="Aptos" w:cs="Aptos"/>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ind w:firstLine="288"/>
      <w:jc w:val="both"/>
    </w:pPr>
    <w:rPr>
      <w:rFonts w:ascii="Play" w:eastAsia="Play" w:hAnsi="Play" w:cs="Play"/>
      <w:sz w:val="56"/>
      <w:szCs w:val="56"/>
    </w:rPr>
  </w:style>
  <w:style w:type="paragraph" w:styleId="Subtitle">
    <w:name w:val="Subtitle"/>
    <w:basedOn w:val="Normal"/>
    <w:next w:val="Normal"/>
    <w:uiPriority w:val="11"/>
    <w:qFormat/>
    <w:pPr>
      <w:spacing w:line="276" w:lineRule="auto"/>
      <w:ind w:firstLine="288"/>
      <w:jc w:val="both"/>
    </w:pPr>
    <w:rPr>
      <w:rFonts w:ascii="Aptos" w:eastAsia="Aptos" w:hAnsi="Aptos" w:cs="Aptos"/>
      <w:color w:val="595959"/>
      <w:sz w:val="28"/>
      <w:szCs w:val="28"/>
    </w:rPr>
  </w:style>
  <w:style w:type="table" w:customStyle="1" w:styleId="a">
    <w:basedOn w:val="TableNormal0"/>
    <w:rPr>
      <w:sz w:val="22"/>
      <w:szCs w:val="22"/>
    </w:rPr>
    <w:tblPr>
      <w:tblStyleRowBandSize w:val="1"/>
      <w:tblStyleColBandSize w:val="1"/>
      <w:tblCellMar>
        <w:left w:w="108"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sid w:val="00EF4963"/>
    <w:rPr>
      <w:i/>
      <w:iCs/>
    </w:rPr>
  </w:style>
  <w:style w:type="character" w:styleId="Hyperlink">
    <w:name w:val="Hyperlink"/>
    <w:basedOn w:val="DefaultParagraphFont"/>
    <w:uiPriority w:val="99"/>
    <w:unhideWhenUsed/>
    <w:rsid w:val="00EF4963"/>
    <w:rPr>
      <w:color w:val="0000FF"/>
      <w:u w:val="single"/>
    </w:rPr>
  </w:style>
  <w:style w:type="paragraph" w:styleId="NormalWeb">
    <w:name w:val="Normal (Web)"/>
    <w:basedOn w:val="Normal"/>
    <w:uiPriority w:val="99"/>
    <w:unhideWhenUsed/>
    <w:rsid w:val="00CE4AD2"/>
  </w:style>
  <w:style w:type="paragraph" w:styleId="CommentSubject">
    <w:name w:val="annotation subject"/>
    <w:basedOn w:val="CommentText"/>
    <w:next w:val="CommentText"/>
    <w:link w:val="CommentSubjectChar"/>
    <w:uiPriority w:val="99"/>
    <w:semiHidden/>
    <w:unhideWhenUsed/>
    <w:rsid w:val="006908BC"/>
    <w:rPr>
      <w:b/>
      <w:bCs/>
    </w:rPr>
  </w:style>
  <w:style w:type="character" w:customStyle="1" w:styleId="CommentSubjectChar">
    <w:name w:val="Comment Subject Char"/>
    <w:basedOn w:val="CommentTextChar"/>
    <w:link w:val="CommentSubject"/>
    <w:uiPriority w:val="99"/>
    <w:semiHidden/>
    <w:rsid w:val="006908BC"/>
    <w:rPr>
      <w:b/>
      <w:bCs/>
      <w:sz w:val="20"/>
      <w:szCs w:val="20"/>
    </w:rPr>
  </w:style>
  <w:style w:type="character" w:styleId="Strong">
    <w:name w:val="Strong"/>
    <w:basedOn w:val="DefaultParagraphFont"/>
    <w:uiPriority w:val="22"/>
    <w:qFormat/>
    <w:rsid w:val="00B9177C"/>
    <w:rPr>
      <w:b/>
      <w:bCs/>
    </w:rPr>
  </w:style>
  <w:style w:type="character" w:styleId="HTMLCode">
    <w:name w:val="HTML Code"/>
    <w:basedOn w:val="DefaultParagraphFont"/>
    <w:uiPriority w:val="99"/>
    <w:semiHidden/>
    <w:unhideWhenUsed/>
    <w:rsid w:val="00B9177C"/>
    <w:rPr>
      <w:rFonts w:ascii="Courier New" w:eastAsia="Times New Roman" w:hAnsi="Courier New" w:cs="Courier New"/>
      <w:sz w:val="20"/>
      <w:szCs w:val="20"/>
    </w:rPr>
  </w:style>
  <w:style w:type="paragraph" w:styleId="ListParagraph">
    <w:name w:val="List Paragraph"/>
    <w:basedOn w:val="Normal"/>
    <w:uiPriority w:val="34"/>
    <w:qFormat/>
    <w:rsid w:val="00793EEE"/>
    <w:pPr>
      <w:ind w:left="720"/>
      <w:contextualSpacing/>
    </w:pPr>
  </w:style>
  <w:style w:type="character" w:styleId="SubtleEmphasis">
    <w:name w:val="Subtle Emphasis"/>
    <w:basedOn w:val="DefaultParagraphFont"/>
    <w:uiPriority w:val="19"/>
    <w:qFormat/>
    <w:rsid w:val="00272825"/>
    <w:rPr>
      <w:i/>
      <w:iCs/>
      <w:color w:val="404040" w:themeColor="text1" w:themeTint="BF"/>
    </w:rPr>
  </w:style>
  <w:style w:type="table" w:styleId="PlainTable2">
    <w:name w:val="Plain Table 2"/>
    <w:basedOn w:val="TableNormal"/>
    <w:uiPriority w:val="42"/>
    <w:rsid w:val="002352B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C456C"/>
    <w:pPr>
      <w:tabs>
        <w:tab w:val="center" w:pos="4680"/>
        <w:tab w:val="right" w:pos="9360"/>
      </w:tabs>
    </w:pPr>
  </w:style>
  <w:style w:type="character" w:customStyle="1" w:styleId="HeaderChar">
    <w:name w:val="Header Char"/>
    <w:basedOn w:val="DefaultParagraphFont"/>
    <w:link w:val="Header"/>
    <w:uiPriority w:val="99"/>
    <w:rsid w:val="004C456C"/>
  </w:style>
  <w:style w:type="paragraph" w:styleId="Footer">
    <w:name w:val="footer"/>
    <w:basedOn w:val="Normal"/>
    <w:link w:val="FooterChar"/>
    <w:uiPriority w:val="99"/>
    <w:unhideWhenUsed/>
    <w:rsid w:val="004C456C"/>
    <w:pPr>
      <w:tabs>
        <w:tab w:val="center" w:pos="4680"/>
        <w:tab w:val="right" w:pos="9360"/>
      </w:tabs>
    </w:pPr>
  </w:style>
  <w:style w:type="character" w:customStyle="1" w:styleId="FooterChar">
    <w:name w:val="Footer Char"/>
    <w:basedOn w:val="DefaultParagraphFont"/>
    <w:link w:val="Footer"/>
    <w:uiPriority w:val="99"/>
    <w:rsid w:val="004C456C"/>
  </w:style>
  <w:style w:type="character" w:styleId="PlaceholderText">
    <w:name w:val="Placeholder Text"/>
    <w:basedOn w:val="DefaultParagraphFont"/>
    <w:uiPriority w:val="99"/>
    <w:semiHidden/>
    <w:rsid w:val="00327748"/>
    <w:rPr>
      <w:color w:val="666666"/>
    </w:rPr>
  </w:style>
  <w:style w:type="paragraph" w:customStyle="1" w:styleId="MDPI31text">
    <w:name w:val="MDPI_3.1_text"/>
    <w:qFormat/>
    <w:rsid w:val="003F1FC5"/>
    <w:pPr>
      <w:adjustRightInd w:val="0"/>
      <w:snapToGrid w:val="0"/>
      <w:spacing w:line="280" w:lineRule="atLeast"/>
      <w:ind w:left="2608" w:firstLine="425"/>
      <w:jc w:val="both"/>
    </w:pPr>
    <w:rPr>
      <w:rFonts w:ascii="Palatino Linotype" w:hAnsi="Palatino Linotype"/>
      <w:snapToGrid w:val="0"/>
      <w:color w:val="000000"/>
      <w:sz w:val="20"/>
      <w:szCs w:val="22"/>
      <w:lang w:val="en-US" w:eastAsia="de-DE" w:bidi="en-US"/>
    </w:rPr>
  </w:style>
  <w:style w:type="table" w:styleId="TableGridLight">
    <w:name w:val="Grid Table Light"/>
    <w:basedOn w:val="TableNormal"/>
    <w:uiPriority w:val="40"/>
    <w:rsid w:val="00B97E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97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97E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B97E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E056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C62F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0F4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F4E13"/>
    <w:rPr>
      <w:rFonts w:ascii="Courier New" w:hAnsi="Courier New" w:cs="Courier New"/>
      <w:sz w:val="20"/>
      <w:szCs w:val="20"/>
      <w:lang w:val="en-US"/>
    </w:rPr>
  </w:style>
  <w:style w:type="table" w:styleId="ListTable3-Accent6">
    <w:name w:val="List Table 3 Accent 6"/>
    <w:basedOn w:val="TableNormal"/>
    <w:uiPriority w:val="48"/>
    <w:rsid w:val="00D63B74"/>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GridTable1Light-Accent6">
    <w:name w:val="Grid Table 1 Light Accent 6"/>
    <w:basedOn w:val="TableNormal"/>
    <w:uiPriority w:val="46"/>
    <w:rsid w:val="009367C6"/>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367C6"/>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A969F2"/>
    <w:rPr>
      <w:color w:val="605E5C"/>
      <w:shd w:val="clear" w:color="auto" w:fill="E1DFDD"/>
    </w:rPr>
  </w:style>
  <w:style w:type="table" w:styleId="GridTable1Light-Accent1">
    <w:name w:val="Grid Table 1 Light Accent 1"/>
    <w:basedOn w:val="TableNormal"/>
    <w:uiPriority w:val="46"/>
    <w:rsid w:val="00D244E3"/>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B665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DPI21heading1">
    <w:name w:val="MDPI_2.1_heading1"/>
    <w:qFormat/>
    <w:rsid w:val="00DC249A"/>
    <w:pPr>
      <w:adjustRightInd w:val="0"/>
      <w:snapToGrid w:val="0"/>
      <w:spacing w:before="240" w:after="60" w:line="280" w:lineRule="atLeast"/>
      <w:ind w:left="2608" w:firstLine="288"/>
      <w:jc w:val="both"/>
      <w:outlineLvl w:val="0"/>
    </w:pPr>
    <w:rPr>
      <w:rFonts w:ascii="Palatino Linotype" w:hAnsi="Palatino Linotype"/>
      <w:b/>
      <w:snapToGrid w:val="0"/>
      <w:color w:val="000000"/>
      <w:szCs w:val="22"/>
      <w:lang w:val="en-US" w:eastAsia="de-DE" w:bidi="en-US"/>
    </w:rPr>
  </w:style>
  <w:style w:type="paragraph" w:styleId="Bibliography">
    <w:name w:val="Bibliography"/>
    <w:basedOn w:val="Normal"/>
    <w:next w:val="Normal"/>
    <w:uiPriority w:val="37"/>
    <w:unhideWhenUsed/>
    <w:rsid w:val="007C5CEF"/>
    <w:pPr>
      <w:tabs>
        <w:tab w:val="left" w:pos="380"/>
      </w:tabs>
      <w:spacing w:after="24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ripod-statement.org/scop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66EDFF-8264-BE49-BF27-7AFE084F8A94}">
  <we:reference id="wa200001361" version="2.129.3.0" store="en-US" storeType="OMEX"/>
  <we:alternateReferences>
    <we:reference id="wa200001361" version="2.129.3.0" store="en-US" storeType="OMEX"/>
  </we:alternateReferences>
  <we:properties>
    <we:property name="paperpal-document-id" value="&quot;c33b11eb-5af8-4c53-ad89-da86353e1e3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AD14E-DFED-EF4D-8FD6-9373ABBDE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17</Pages>
  <Words>24390</Words>
  <Characters>162195</Characters>
  <Application>Microsoft Office Word</Application>
  <DocSecurity>0</DocSecurity>
  <Lines>2385</Lines>
  <Paragraphs>814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185771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 Ben Dor</cp:lastModifiedBy>
  <cp:revision>421</cp:revision>
  <dcterms:created xsi:type="dcterms:W3CDTF">2025-11-10T20:55:00Z</dcterms:created>
  <dcterms:modified xsi:type="dcterms:W3CDTF">2026-03-09T12:58:00Z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id="PQCbIlvI"/&gt;&lt;style id="http://www.zotero.org/styles/american-medical-association" hasBibliography="1" bibliographyStyleHasBeenSet="1"/&gt;&lt;prefs&gt;&lt;pref name="fieldType" value="Field"/&gt;&lt;/prefs&gt;&lt;/data&gt;</vt:lpwstr>
  </property>
</Properties>
</file>