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1CD8" w14:textId="4A3F3F2F" w:rsidR="00957942" w:rsidRPr="00957942" w:rsidRDefault="00957942" w:rsidP="00957942">
      <w:r w:rsidRPr="00957942">
        <w:t xml:space="preserve">Table x. </w:t>
      </w:r>
      <w:r>
        <w:t>M</w:t>
      </w:r>
      <w:r>
        <w:t>ultivariable logistic regression for severe postoperative complications</w:t>
      </w:r>
    </w:p>
    <w:tbl>
      <w:tblPr>
        <w:tblStyle w:val="TableGrid"/>
        <w:tblW w:w="0" w:type="auto"/>
        <w:tblLook w:val="04A0" w:firstRow="1" w:lastRow="0" w:firstColumn="1" w:lastColumn="0" w:noHBand="0" w:noVBand="1"/>
      </w:tblPr>
      <w:tblGrid>
        <w:gridCol w:w="3682"/>
        <w:gridCol w:w="1856"/>
        <w:gridCol w:w="1176"/>
        <w:gridCol w:w="916"/>
      </w:tblGrid>
      <w:tr w:rsidR="00957942" w:rsidRPr="00957942" w14:paraId="0F23BF19" w14:textId="77777777" w:rsidTr="00957942">
        <w:tc>
          <w:tcPr>
            <w:tcW w:w="0" w:type="auto"/>
            <w:hideMark/>
          </w:tcPr>
          <w:p w14:paraId="774FE28A"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Variable</w:t>
            </w:r>
          </w:p>
        </w:tc>
        <w:tc>
          <w:tcPr>
            <w:tcW w:w="0" w:type="auto"/>
            <w:hideMark/>
          </w:tcPr>
          <w:p w14:paraId="4EB2B0A8"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Odds Ratio (OR)</w:t>
            </w:r>
          </w:p>
        </w:tc>
        <w:tc>
          <w:tcPr>
            <w:tcW w:w="0" w:type="auto"/>
            <w:hideMark/>
          </w:tcPr>
          <w:p w14:paraId="383005DB"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95% CI</w:t>
            </w:r>
          </w:p>
        </w:tc>
        <w:tc>
          <w:tcPr>
            <w:tcW w:w="0" w:type="auto"/>
            <w:hideMark/>
          </w:tcPr>
          <w:p w14:paraId="255D80D2"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p value</w:t>
            </w:r>
          </w:p>
        </w:tc>
      </w:tr>
      <w:tr w:rsidR="00957942" w:rsidRPr="00957942" w14:paraId="0C8D8287" w14:textId="77777777" w:rsidTr="00957942">
        <w:tc>
          <w:tcPr>
            <w:tcW w:w="0" w:type="auto"/>
            <w:hideMark/>
          </w:tcPr>
          <w:p w14:paraId="041FADD0"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ICA encasement</w:t>
            </w:r>
          </w:p>
        </w:tc>
        <w:tc>
          <w:tcPr>
            <w:tcW w:w="0" w:type="auto"/>
            <w:hideMark/>
          </w:tcPr>
          <w:p w14:paraId="4E5BA5D5"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3.07</w:t>
            </w:r>
          </w:p>
        </w:tc>
        <w:tc>
          <w:tcPr>
            <w:tcW w:w="0" w:type="auto"/>
            <w:hideMark/>
          </w:tcPr>
          <w:p w14:paraId="2CF5A8BB"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1.51–6.25</w:t>
            </w:r>
          </w:p>
        </w:tc>
        <w:tc>
          <w:tcPr>
            <w:tcW w:w="0" w:type="auto"/>
            <w:hideMark/>
          </w:tcPr>
          <w:p w14:paraId="6756EB4B"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0.002</w:t>
            </w:r>
          </w:p>
        </w:tc>
      </w:tr>
      <w:tr w:rsidR="00957942" w:rsidRPr="00957942" w14:paraId="2A4DD1D8" w14:textId="77777777" w:rsidTr="00957942">
        <w:tc>
          <w:tcPr>
            <w:tcW w:w="0" w:type="auto"/>
            <w:hideMark/>
          </w:tcPr>
          <w:p w14:paraId="2BD52633"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Radiological midline shift (per unit)</w:t>
            </w:r>
          </w:p>
        </w:tc>
        <w:tc>
          <w:tcPr>
            <w:tcW w:w="0" w:type="auto"/>
            <w:hideMark/>
          </w:tcPr>
          <w:p w14:paraId="2B272C00"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1.07</w:t>
            </w:r>
          </w:p>
        </w:tc>
        <w:tc>
          <w:tcPr>
            <w:tcW w:w="0" w:type="auto"/>
            <w:hideMark/>
          </w:tcPr>
          <w:p w14:paraId="18CFBBB1"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1.02–1.13</w:t>
            </w:r>
          </w:p>
        </w:tc>
        <w:tc>
          <w:tcPr>
            <w:tcW w:w="0" w:type="auto"/>
            <w:hideMark/>
          </w:tcPr>
          <w:p w14:paraId="746037E9"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0.012</w:t>
            </w:r>
          </w:p>
        </w:tc>
      </w:tr>
      <w:tr w:rsidR="00957942" w:rsidRPr="00957942" w14:paraId="0C1B52E2" w14:textId="77777777" w:rsidTr="00957942">
        <w:tc>
          <w:tcPr>
            <w:tcW w:w="0" w:type="auto"/>
            <w:hideMark/>
          </w:tcPr>
          <w:p w14:paraId="06780A0A"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Pre-operative KPS</w:t>
            </w:r>
          </w:p>
        </w:tc>
        <w:tc>
          <w:tcPr>
            <w:tcW w:w="0" w:type="auto"/>
            <w:hideMark/>
          </w:tcPr>
          <w:p w14:paraId="4625C872"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0.97</w:t>
            </w:r>
          </w:p>
        </w:tc>
        <w:tc>
          <w:tcPr>
            <w:tcW w:w="0" w:type="auto"/>
            <w:hideMark/>
          </w:tcPr>
          <w:p w14:paraId="32879AB3"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0.94–1.00</w:t>
            </w:r>
          </w:p>
        </w:tc>
        <w:tc>
          <w:tcPr>
            <w:tcW w:w="0" w:type="auto"/>
            <w:hideMark/>
          </w:tcPr>
          <w:p w14:paraId="1746A457"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0.054</w:t>
            </w:r>
          </w:p>
        </w:tc>
      </w:tr>
      <w:tr w:rsidR="00957942" w:rsidRPr="00957942" w14:paraId="5D0DB733" w14:textId="77777777" w:rsidTr="00957942">
        <w:tc>
          <w:tcPr>
            <w:tcW w:w="0" w:type="auto"/>
            <w:hideMark/>
          </w:tcPr>
          <w:p w14:paraId="0F476133"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Complete asportation (GTR)</w:t>
            </w:r>
          </w:p>
        </w:tc>
        <w:tc>
          <w:tcPr>
            <w:tcW w:w="0" w:type="auto"/>
            <w:hideMark/>
          </w:tcPr>
          <w:p w14:paraId="4068A4BD"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0.67</w:t>
            </w:r>
          </w:p>
        </w:tc>
        <w:tc>
          <w:tcPr>
            <w:tcW w:w="0" w:type="auto"/>
            <w:hideMark/>
          </w:tcPr>
          <w:p w14:paraId="0984BDE1"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0.35–1.30</w:t>
            </w:r>
          </w:p>
        </w:tc>
        <w:tc>
          <w:tcPr>
            <w:tcW w:w="0" w:type="auto"/>
            <w:hideMark/>
          </w:tcPr>
          <w:p w14:paraId="447524B3"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0.238</w:t>
            </w:r>
          </w:p>
        </w:tc>
      </w:tr>
      <w:tr w:rsidR="00957942" w:rsidRPr="00957942" w14:paraId="1616D39A" w14:textId="77777777" w:rsidTr="00957942">
        <w:tc>
          <w:tcPr>
            <w:tcW w:w="0" w:type="auto"/>
            <w:hideMark/>
          </w:tcPr>
          <w:p w14:paraId="723A0700"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Cavernous sinus involvement</w:t>
            </w:r>
          </w:p>
        </w:tc>
        <w:tc>
          <w:tcPr>
            <w:tcW w:w="0" w:type="auto"/>
            <w:hideMark/>
          </w:tcPr>
          <w:p w14:paraId="372B8549"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1.35</w:t>
            </w:r>
          </w:p>
        </w:tc>
        <w:tc>
          <w:tcPr>
            <w:tcW w:w="0" w:type="auto"/>
            <w:hideMark/>
          </w:tcPr>
          <w:p w14:paraId="1BA505C8"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0.63–2.87</w:t>
            </w:r>
          </w:p>
        </w:tc>
        <w:tc>
          <w:tcPr>
            <w:tcW w:w="0" w:type="auto"/>
            <w:hideMark/>
          </w:tcPr>
          <w:p w14:paraId="24DB8F57"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0.441</w:t>
            </w:r>
          </w:p>
        </w:tc>
      </w:tr>
    </w:tbl>
    <w:p w14:paraId="1C6A03BB" w14:textId="77777777" w:rsidR="00957942" w:rsidRDefault="00957942">
      <w:pPr>
        <w:rPr>
          <w:lang w:val="it-IT"/>
        </w:rPr>
      </w:pPr>
    </w:p>
    <w:p w14:paraId="66080FAD" w14:textId="61FEC959" w:rsidR="00957942" w:rsidRDefault="00957942">
      <w:r w:rsidRPr="00957942">
        <w:t xml:space="preserve">Table X. </w:t>
      </w:r>
      <w:r>
        <w:t>multivariable logistic regression for new postoperative neurological deficits</w:t>
      </w:r>
    </w:p>
    <w:tbl>
      <w:tblPr>
        <w:tblStyle w:val="TableGrid"/>
        <w:tblW w:w="0" w:type="auto"/>
        <w:tblLook w:val="04A0" w:firstRow="1" w:lastRow="0" w:firstColumn="1" w:lastColumn="0" w:noHBand="0" w:noVBand="1"/>
      </w:tblPr>
      <w:tblGrid>
        <w:gridCol w:w="3236"/>
        <w:gridCol w:w="1856"/>
        <w:gridCol w:w="1296"/>
        <w:gridCol w:w="916"/>
      </w:tblGrid>
      <w:tr w:rsidR="00957942" w:rsidRPr="00957942" w14:paraId="08733688" w14:textId="77777777" w:rsidTr="00957942">
        <w:tc>
          <w:tcPr>
            <w:tcW w:w="0" w:type="auto"/>
            <w:hideMark/>
          </w:tcPr>
          <w:p w14:paraId="65BA834B"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Variable</w:t>
            </w:r>
          </w:p>
        </w:tc>
        <w:tc>
          <w:tcPr>
            <w:tcW w:w="0" w:type="auto"/>
            <w:hideMark/>
          </w:tcPr>
          <w:p w14:paraId="3F4BBB93"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Odds Ratio (OR)</w:t>
            </w:r>
          </w:p>
        </w:tc>
        <w:tc>
          <w:tcPr>
            <w:tcW w:w="0" w:type="auto"/>
            <w:hideMark/>
          </w:tcPr>
          <w:p w14:paraId="5767BC62"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95% CI</w:t>
            </w:r>
          </w:p>
        </w:tc>
        <w:tc>
          <w:tcPr>
            <w:tcW w:w="0" w:type="auto"/>
            <w:hideMark/>
          </w:tcPr>
          <w:p w14:paraId="41B2EE78"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p value</w:t>
            </w:r>
          </w:p>
        </w:tc>
      </w:tr>
      <w:tr w:rsidR="00957942" w:rsidRPr="00957942" w14:paraId="22F84DD0" w14:textId="77777777" w:rsidTr="00957942">
        <w:tc>
          <w:tcPr>
            <w:tcW w:w="0" w:type="auto"/>
            <w:hideMark/>
          </w:tcPr>
          <w:p w14:paraId="7D522E78"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CN IX–XI involvement</w:t>
            </w:r>
          </w:p>
        </w:tc>
        <w:tc>
          <w:tcPr>
            <w:tcW w:w="0" w:type="auto"/>
            <w:hideMark/>
          </w:tcPr>
          <w:p w14:paraId="54CD9FD0"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7.74</w:t>
            </w:r>
          </w:p>
        </w:tc>
        <w:tc>
          <w:tcPr>
            <w:tcW w:w="0" w:type="auto"/>
            <w:hideMark/>
          </w:tcPr>
          <w:p w14:paraId="6F78CFE4"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3.04–19.73</w:t>
            </w:r>
          </w:p>
        </w:tc>
        <w:tc>
          <w:tcPr>
            <w:tcW w:w="0" w:type="auto"/>
            <w:hideMark/>
          </w:tcPr>
          <w:p w14:paraId="08CC5C29"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&lt;0.001</w:t>
            </w:r>
          </w:p>
        </w:tc>
      </w:tr>
      <w:tr w:rsidR="00957942" w:rsidRPr="00957942" w14:paraId="494FF32A" w14:textId="77777777" w:rsidTr="00957942">
        <w:tc>
          <w:tcPr>
            <w:tcW w:w="0" w:type="auto"/>
            <w:hideMark/>
          </w:tcPr>
          <w:p w14:paraId="2ACDF1E4"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Cavernous sinus involvement</w:t>
            </w:r>
          </w:p>
        </w:tc>
        <w:tc>
          <w:tcPr>
            <w:tcW w:w="0" w:type="auto"/>
            <w:hideMark/>
          </w:tcPr>
          <w:p w14:paraId="39C57CB0"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2.61</w:t>
            </w:r>
          </w:p>
        </w:tc>
        <w:tc>
          <w:tcPr>
            <w:tcW w:w="0" w:type="auto"/>
            <w:hideMark/>
          </w:tcPr>
          <w:p w14:paraId="684D4301"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1.50–4.55</w:t>
            </w:r>
          </w:p>
        </w:tc>
        <w:tc>
          <w:tcPr>
            <w:tcW w:w="0" w:type="auto"/>
            <w:hideMark/>
          </w:tcPr>
          <w:p w14:paraId="771059BF"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&lt;0.001</w:t>
            </w:r>
          </w:p>
        </w:tc>
      </w:tr>
      <w:tr w:rsidR="00957942" w:rsidRPr="00957942" w14:paraId="2A0B5194" w14:textId="77777777" w:rsidTr="00957942">
        <w:tc>
          <w:tcPr>
            <w:tcW w:w="0" w:type="auto"/>
            <w:hideMark/>
          </w:tcPr>
          <w:p w14:paraId="1B3078FD"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Complete asportation (GTR)</w:t>
            </w:r>
          </w:p>
        </w:tc>
        <w:tc>
          <w:tcPr>
            <w:tcW w:w="0" w:type="auto"/>
            <w:hideMark/>
          </w:tcPr>
          <w:p w14:paraId="2D9E3683"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0.47</w:t>
            </w:r>
          </w:p>
        </w:tc>
        <w:tc>
          <w:tcPr>
            <w:tcW w:w="0" w:type="auto"/>
            <w:hideMark/>
          </w:tcPr>
          <w:p w14:paraId="299E06B3"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0.30–0.73</w:t>
            </w:r>
          </w:p>
        </w:tc>
        <w:tc>
          <w:tcPr>
            <w:tcW w:w="0" w:type="auto"/>
            <w:hideMark/>
          </w:tcPr>
          <w:p w14:paraId="2E73C2F7"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0.001</w:t>
            </w:r>
          </w:p>
        </w:tc>
      </w:tr>
      <w:tr w:rsidR="00957942" w:rsidRPr="00957942" w14:paraId="157256A9" w14:textId="77777777" w:rsidTr="00957942">
        <w:tc>
          <w:tcPr>
            <w:tcW w:w="0" w:type="auto"/>
            <w:hideMark/>
          </w:tcPr>
          <w:p w14:paraId="0F45580F"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Maximum axial diameter (mm)</w:t>
            </w:r>
          </w:p>
        </w:tc>
        <w:tc>
          <w:tcPr>
            <w:tcW w:w="0" w:type="auto"/>
            <w:hideMark/>
          </w:tcPr>
          <w:p w14:paraId="72500140"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1.03</w:t>
            </w:r>
          </w:p>
        </w:tc>
        <w:tc>
          <w:tcPr>
            <w:tcW w:w="0" w:type="auto"/>
            <w:hideMark/>
          </w:tcPr>
          <w:p w14:paraId="024CF13C"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1.01–1.04</w:t>
            </w:r>
          </w:p>
        </w:tc>
        <w:tc>
          <w:tcPr>
            <w:tcW w:w="0" w:type="auto"/>
            <w:hideMark/>
          </w:tcPr>
          <w:p w14:paraId="5CCF3D5F"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0.002</w:t>
            </w:r>
          </w:p>
        </w:tc>
      </w:tr>
      <w:tr w:rsidR="00957942" w:rsidRPr="00957942" w14:paraId="6EF04182" w14:textId="77777777" w:rsidTr="00957942">
        <w:tc>
          <w:tcPr>
            <w:tcW w:w="0" w:type="auto"/>
            <w:hideMark/>
          </w:tcPr>
          <w:p w14:paraId="5E734026"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Hyperprolactinemia</w:t>
            </w:r>
          </w:p>
        </w:tc>
        <w:tc>
          <w:tcPr>
            <w:tcW w:w="0" w:type="auto"/>
            <w:hideMark/>
          </w:tcPr>
          <w:p w14:paraId="0670D8D6"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3.01</w:t>
            </w:r>
          </w:p>
        </w:tc>
        <w:tc>
          <w:tcPr>
            <w:tcW w:w="0" w:type="auto"/>
            <w:hideMark/>
          </w:tcPr>
          <w:p w14:paraId="323B33DA"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1.35–6.70</w:t>
            </w:r>
          </w:p>
        </w:tc>
        <w:tc>
          <w:tcPr>
            <w:tcW w:w="0" w:type="auto"/>
            <w:hideMark/>
          </w:tcPr>
          <w:p w14:paraId="24410F2F"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0.007</w:t>
            </w:r>
          </w:p>
        </w:tc>
      </w:tr>
      <w:tr w:rsidR="00957942" w:rsidRPr="00957942" w14:paraId="31555BD1" w14:textId="77777777" w:rsidTr="00957942">
        <w:tc>
          <w:tcPr>
            <w:tcW w:w="0" w:type="auto"/>
            <w:hideMark/>
          </w:tcPr>
          <w:p w14:paraId="120E045A"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Pre-operative KPS</w:t>
            </w:r>
          </w:p>
        </w:tc>
        <w:tc>
          <w:tcPr>
            <w:tcW w:w="0" w:type="auto"/>
            <w:hideMark/>
          </w:tcPr>
          <w:p w14:paraId="3EC9A85E"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0.99</w:t>
            </w:r>
          </w:p>
        </w:tc>
        <w:tc>
          <w:tcPr>
            <w:tcW w:w="0" w:type="auto"/>
            <w:hideMark/>
          </w:tcPr>
          <w:p w14:paraId="594CF66A"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0.96–1.01</w:t>
            </w:r>
          </w:p>
        </w:tc>
        <w:tc>
          <w:tcPr>
            <w:tcW w:w="0" w:type="auto"/>
            <w:hideMark/>
          </w:tcPr>
          <w:p w14:paraId="7896194B"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0.163</w:t>
            </w:r>
          </w:p>
        </w:tc>
      </w:tr>
      <w:tr w:rsidR="00957942" w:rsidRPr="00957942" w14:paraId="48FE68C6" w14:textId="77777777" w:rsidTr="00957942">
        <w:tc>
          <w:tcPr>
            <w:tcW w:w="0" w:type="auto"/>
            <w:hideMark/>
          </w:tcPr>
          <w:p w14:paraId="32B02749" w14:textId="77777777" w:rsidR="00957942" w:rsidRPr="00957942" w:rsidRDefault="00957942" w:rsidP="00957942">
            <w:pPr>
              <w:rPr>
                <w:rFonts w:ascii="Times New Roman" w:eastAsia="Times New Roman" w:hAnsi="Times New Roman" w:cs="Times New Roman"/>
                <w:kern w:val="0"/>
                <w:lang w:val="it-IT"/>
                <w14:ligatures w14:val="none"/>
              </w:rPr>
            </w:pPr>
            <w:r w:rsidRPr="00957942">
              <w:rPr>
                <w:rFonts w:ascii="Times New Roman" w:eastAsia="Times New Roman" w:hAnsi="Times New Roman" w:cs="Times New Roman"/>
                <w:kern w:val="0"/>
                <w:lang w:val="it-IT"/>
                <w14:ligatures w14:val="none"/>
              </w:rPr>
              <w:t xml:space="preserve">CN III/IV/VI </w:t>
            </w:r>
            <w:proofErr w:type="spellStart"/>
            <w:r w:rsidRPr="00957942">
              <w:rPr>
                <w:rFonts w:ascii="Times New Roman" w:eastAsia="Times New Roman" w:hAnsi="Times New Roman" w:cs="Times New Roman"/>
                <w:kern w:val="0"/>
                <w:lang w:val="it-IT"/>
                <w14:ligatures w14:val="none"/>
              </w:rPr>
              <w:t>involvement</w:t>
            </w:r>
            <w:proofErr w:type="spellEnd"/>
          </w:p>
        </w:tc>
        <w:tc>
          <w:tcPr>
            <w:tcW w:w="0" w:type="auto"/>
            <w:hideMark/>
          </w:tcPr>
          <w:p w14:paraId="2ADFE480"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1.47</w:t>
            </w:r>
          </w:p>
        </w:tc>
        <w:tc>
          <w:tcPr>
            <w:tcW w:w="0" w:type="auto"/>
            <w:hideMark/>
          </w:tcPr>
          <w:p w14:paraId="6A4DD931"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0.80–2.69</w:t>
            </w:r>
          </w:p>
        </w:tc>
        <w:tc>
          <w:tcPr>
            <w:tcW w:w="0" w:type="auto"/>
            <w:hideMark/>
          </w:tcPr>
          <w:p w14:paraId="47920CB5"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0.215</w:t>
            </w:r>
          </w:p>
        </w:tc>
      </w:tr>
      <w:tr w:rsidR="00957942" w:rsidRPr="00957942" w14:paraId="633FBAD8" w14:textId="77777777" w:rsidTr="00957942">
        <w:tc>
          <w:tcPr>
            <w:tcW w:w="0" w:type="auto"/>
            <w:hideMark/>
          </w:tcPr>
          <w:p w14:paraId="630658C8"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ICA encasement</w:t>
            </w:r>
          </w:p>
        </w:tc>
        <w:tc>
          <w:tcPr>
            <w:tcW w:w="0" w:type="auto"/>
            <w:hideMark/>
          </w:tcPr>
          <w:p w14:paraId="0588DD3B"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1.00</w:t>
            </w:r>
          </w:p>
        </w:tc>
        <w:tc>
          <w:tcPr>
            <w:tcW w:w="0" w:type="auto"/>
            <w:hideMark/>
          </w:tcPr>
          <w:p w14:paraId="6E9BDB79"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0.56–1.79</w:t>
            </w:r>
          </w:p>
        </w:tc>
        <w:tc>
          <w:tcPr>
            <w:tcW w:w="0" w:type="auto"/>
            <w:hideMark/>
          </w:tcPr>
          <w:p w14:paraId="6C3FB641"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1.000</w:t>
            </w:r>
          </w:p>
        </w:tc>
      </w:tr>
    </w:tbl>
    <w:p w14:paraId="4B9EC525" w14:textId="77777777" w:rsidR="00957942" w:rsidRPr="00957942" w:rsidRDefault="00957942"/>
    <w:p w14:paraId="666A665B" w14:textId="50CB7021" w:rsidR="00957942" w:rsidRDefault="00957942" w:rsidP="00957942">
      <w:r w:rsidRPr="00957942">
        <w:t xml:space="preserve">Table X. </w:t>
      </w:r>
      <w:r>
        <w:t>multivariable logistic regression for worsened KPS at discharge</w:t>
      </w:r>
    </w:p>
    <w:tbl>
      <w:tblPr>
        <w:tblStyle w:val="TableGrid"/>
        <w:tblW w:w="0" w:type="auto"/>
        <w:tblLook w:val="04A0" w:firstRow="1" w:lastRow="0" w:firstColumn="1" w:lastColumn="0" w:noHBand="0" w:noVBand="1"/>
      </w:tblPr>
      <w:tblGrid>
        <w:gridCol w:w="3056"/>
        <w:gridCol w:w="1963"/>
        <w:gridCol w:w="1176"/>
        <w:gridCol w:w="957"/>
      </w:tblGrid>
      <w:tr w:rsidR="00957942" w:rsidRPr="00957942" w14:paraId="17721AB5" w14:textId="77777777" w:rsidTr="00957942">
        <w:tc>
          <w:tcPr>
            <w:tcW w:w="0" w:type="auto"/>
            <w:hideMark/>
          </w:tcPr>
          <w:p w14:paraId="65130535" w14:textId="77777777" w:rsidR="00957942" w:rsidRPr="00957942" w:rsidRDefault="00957942" w:rsidP="00957942">
            <w:pPr>
              <w:jc w:val="center"/>
              <w:rPr>
                <w:rFonts w:ascii="Times New Roman" w:eastAsia="Times New Roman" w:hAnsi="Times New Roman" w:cs="Times New Roman"/>
                <w:b/>
                <w:bCs/>
                <w:kern w:val="0"/>
                <w14:ligatures w14:val="none"/>
              </w:rPr>
            </w:pPr>
            <w:r w:rsidRPr="00957942">
              <w:rPr>
                <w:rFonts w:ascii="Times New Roman" w:eastAsia="Times New Roman" w:hAnsi="Times New Roman" w:cs="Times New Roman"/>
                <w:b/>
                <w:bCs/>
                <w:kern w:val="0"/>
                <w14:ligatures w14:val="none"/>
              </w:rPr>
              <w:t>Variable</w:t>
            </w:r>
          </w:p>
        </w:tc>
        <w:tc>
          <w:tcPr>
            <w:tcW w:w="0" w:type="auto"/>
            <w:hideMark/>
          </w:tcPr>
          <w:p w14:paraId="25BB9D12" w14:textId="77777777" w:rsidR="00957942" w:rsidRPr="00957942" w:rsidRDefault="00957942" w:rsidP="00957942">
            <w:pPr>
              <w:jc w:val="right"/>
              <w:rPr>
                <w:rFonts w:ascii="Times New Roman" w:eastAsia="Times New Roman" w:hAnsi="Times New Roman" w:cs="Times New Roman"/>
                <w:b/>
                <w:bCs/>
                <w:kern w:val="0"/>
                <w14:ligatures w14:val="none"/>
              </w:rPr>
            </w:pPr>
            <w:r w:rsidRPr="00957942">
              <w:rPr>
                <w:rFonts w:ascii="Times New Roman" w:eastAsia="Times New Roman" w:hAnsi="Times New Roman" w:cs="Times New Roman"/>
                <w:b/>
                <w:bCs/>
                <w:kern w:val="0"/>
                <w14:ligatures w14:val="none"/>
              </w:rPr>
              <w:t>Odds Ratio (OR)</w:t>
            </w:r>
          </w:p>
        </w:tc>
        <w:tc>
          <w:tcPr>
            <w:tcW w:w="0" w:type="auto"/>
            <w:hideMark/>
          </w:tcPr>
          <w:p w14:paraId="298574B6" w14:textId="77777777" w:rsidR="00957942" w:rsidRPr="00957942" w:rsidRDefault="00957942" w:rsidP="00957942">
            <w:pPr>
              <w:jc w:val="center"/>
              <w:rPr>
                <w:rFonts w:ascii="Times New Roman" w:eastAsia="Times New Roman" w:hAnsi="Times New Roman" w:cs="Times New Roman"/>
                <w:b/>
                <w:bCs/>
                <w:kern w:val="0"/>
                <w14:ligatures w14:val="none"/>
              </w:rPr>
            </w:pPr>
            <w:r w:rsidRPr="00957942">
              <w:rPr>
                <w:rFonts w:ascii="Times New Roman" w:eastAsia="Times New Roman" w:hAnsi="Times New Roman" w:cs="Times New Roman"/>
                <w:b/>
                <w:bCs/>
                <w:kern w:val="0"/>
                <w14:ligatures w14:val="none"/>
              </w:rPr>
              <w:t>95% CI</w:t>
            </w:r>
          </w:p>
        </w:tc>
        <w:tc>
          <w:tcPr>
            <w:tcW w:w="0" w:type="auto"/>
            <w:hideMark/>
          </w:tcPr>
          <w:p w14:paraId="7FDB344B" w14:textId="77777777" w:rsidR="00957942" w:rsidRPr="00957942" w:rsidRDefault="00957942" w:rsidP="00957942">
            <w:pPr>
              <w:jc w:val="right"/>
              <w:rPr>
                <w:rFonts w:ascii="Times New Roman" w:eastAsia="Times New Roman" w:hAnsi="Times New Roman" w:cs="Times New Roman"/>
                <w:b/>
                <w:bCs/>
                <w:kern w:val="0"/>
                <w14:ligatures w14:val="none"/>
              </w:rPr>
            </w:pPr>
            <w:r w:rsidRPr="00957942">
              <w:rPr>
                <w:rFonts w:ascii="Times New Roman" w:eastAsia="Times New Roman" w:hAnsi="Times New Roman" w:cs="Times New Roman"/>
                <w:b/>
                <w:bCs/>
                <w:kern w:val="0"/>
                <w14:ligatures w14:val="none"/>
              </w:rPr>
              <w:t>p value</w:t>
            </w:r>
          </w:p>
        </w:tc>
      </w:tr>
      <w:tr w:rsidR="00957942" w:rsidRPr="00957942" w14:paraId="1B6B8829" w14:textId="77777777" w:rsidTr="00957942">
        <w:tc>
          <w:tcPr>
            <w:tcW w:w="0" w:type="auto"/>
            <w:hideMark/>
          </w:tcPr>
          <w:p w14:paraId="747A9915"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Obesity</w:t>
            </w:r>
          </w:p>
        </w:tc>
        <w:tc>
          <w:tcPr>
            <w:tcW w:w="0" w:type="auto"/>
            <w:hideMark/>
          </w:tcPr>
          <w:p w14:paraId="1E4FC027"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3.49</w:t>
            </w:r>
          </w:p>
        </w:tc>
        <w:tc>
          <w:tcPr>
            <w:tcW w:w="0" w:type="auto"/>
            <w:hideMark/>
          </w:tcPr>
          <w:p w14:paraId="748B65DE"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1.63–7.48</w:t>
            </w:r>
          </w:p>
        </w:tc>
        <w:tc>
          <w:tcPr>
            <w:tcW w:w="0" w:type="auto"/>
            <w:hideMark/>
          </w:tcPr>
          <w:p w14:paraId="22CFDD5A"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0.001</w:t>
            </w:r>
          </w:p>
        </w:tc>
      </w:tr>
      <w:tr w:rsidR="00957942" w:rsidRPr="00957942" w14:paraId="44A3B807" w14:textId="77777777" w:rsidTr="00957942">
        <w:tc>
          <w:tcPr>
            <w:tcW w:w="0" w:type="auto"/>
            <w:hideMark/>
          </w:tcPr>
          <w:p w14:paraId="075344CB"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Brainstem compression</w:t>
            </w:r>
          </w:p>
        </w:tc>
        <w:tc>
          <w:tcPr>
            <w:tcW w:w="0" w:type="auto"/>
            <w:hideMark/>
          </w:tcPr>
          <w:p w14:paraId="2082E68E"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3.67</w:t>
            </w:r>
          </w:p>
        </w:tc>
        <w:tc>
          <w:tcPr>
            <w:tcW w:w="0" w:type="auto"/>
            <w:hideMark/>
          </w:tcPr>
          <w:p w14:paraId="58D3A203"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1.61–8.35</w:t>
            </w:r>
          </w:p>
        </w:tc>
        <w:tc>
          <w:tcPr>
            <w:tcW w:w="0" w:type="auto"/>
            <w:hideMark/>
          </w:tcPr>
          <w:p w14:paraId="49FB316B"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0.002</w:t>
            </w:r>
          </w:p>
        </w:tc>
      </w:tr>
      <w:tr w:rsidR="00957942" w:rsidRPr="00957942" w14:paraId="25FA4B1D" w14:textId="77777777" w:rsidTr="00957942">
        <w:tc>
          <w:tcPr>
            <w:tcW w:w="0" w:type="auto"/>
            <w:hideMark/>
          </w:tcPr>
          <w:p w14:paraId="57D7BC6F"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Complete asportation (GTR)</w:t>
            </w:r>
          </w:p>
        </w:tc>
        <w:tc>
          <w:tcPr>
            <w:tcW w:w="0" w:type="auto"/>
            <w:hideMark/>
          </w:tcPr>
          <w:p w14:paraId="0A64CAA4"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0.46</w:t>
            </w:r>
          </w:p>
        </w:tc>
        <w:tc>
          <w:tcPr>
            <w:tcW w:w="0" w:type="auto"/>
            <w:hideMark/>
          </w:tcPr>
          <w:p w14:paraId="57BEA0A9"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0.27–0.76</w:t>
            </w:r>
          </w:p>
        </w:tc>
        <w:tc>
          <w:tcPr>
            <w:tcW w:w="0" w:type="auto"/>
            <w:hideMark/>
          </w:tcPr>
          <w:p w14:paraId="47265E3E"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0.003</w:t>
            </w:r>
          </w:p>
        </w:tc>
      </w:tr>
      <w:tr w:rsidR="00957942" w:rsidRPr="00957942" w14:paraId="50E3B62A" w14:textId="77777777" w:rsidTr="00957942">
        <w:tc>
          <w:tcPr>
            <w:tcW w:w="0" w:type="auto"/>
            <w:hideMark/>
          </w:tcPr>
          <w:p w14:paraId="0E20622B" w14:textId="77777777" w:rsidR="00957942" w:rsidRPr="00957942" w:rsidRDefault="00957942" w:rsidP="00957942">
            <w:pPr>
              <w:rPr>
                <w:rFonts w:ascii="Times New Roman" w:eastAsia="Times New Roman" w:hAnsi="Times New Roman" w:cs="Times New Roman"/>
                <w:kern w:val="0"/>
                <w:lang w:val="it-IT"/>
                <w14:ligatures w14:val="none"/>
              </w:rPr>
            </w:pPr>
            <w:r w:rsidRPr="00957942">
              <w:rPr>
                <w:rFonts w:ascii="Times New Roman" w:eastAsia="Times New Roman" w:hAnsi="Times New Roman" w:cs="Times New Roman"/>
                <w:kern w:val="0"/>
                <w:lang w:val="it-IT"/>
                <w14:ligatures w14:val="none"/>
              </w:rPr>
              <w:t xml:space="preserve">CN III/IV/VI </w:t>
            </w:r>
            <w:proofErr w:type="spellStart"/>
            <w:r w:rsidRPr="00957942">
              <w:rPr>
                <w:rFonts w:ascii="Times New Roman" w:eastAsia="Times New Roman" w:hAnsi="Times New Roman" w:cs="Times New Roman"/>
                <w:kern w:val="0"/>
                <w:lang w:val="it-IT"/>
                <w14:ligatures w14:val="none"/>
              </w:rPr>
              <w:t>involvement</w:t>
            </w:r>
            <w:proofErr w:type="spellEnd"/>
          </w:p>
        </w:tc>
        <w:tc>
          <w:tcPr>
            <w:tcW w:w="0" w:type="auto"/>
            <w:hideMark/>
          </w:tcPr>
          <w:p w14:paraId="0B62BBCE"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2.20</w:t>
            </w:r>
          </w:p>
        </w:tc>
        <w:tc>
          <w:tcPr>
            <w:tcW w:w="0" w:type="auto"/>
            <w:hideMark/>
          </w:tcPr>
          <w:p w14:paraId="65CB7971"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1.12–4.30</w:t>
            </w:r>
          </w:p>
        </w:tc>
        <w:tc>
          <w:tcPr>
            <w:tcW w:w="0" w:type="auto"/>
            <w:hideMark/>
          </w:tcPr>
          <w:p w14:paraId="49FED950"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0.022</w:t>
            </w:r>
          </w:p>
        </w:tc>
      </w:tr>
      <w:tr w:rsidR="00957942" w:rsidRPr="00957942" w14:paraId="2F1B8C0B" w14:textId="77777777" w:rsidTr="00957942">
        <w:tc>
          <w:tcPr>
            <w:tcW w:w="0" w:type="auto"/>
            <w:hideMark/>
          </w:tcPr>
          <w:p w14:paraId="4AD05CDF" w14:textId="77777777" w:rsidR="00957942" w:rsidRPr="00957942" w:rsidRDefault="00957942" w:rsidP="00957942">
            <w:pP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Cavernous sinus involvement</w:t>
            </w:r>
          </w:p>
        </w:tc>
        <w:tc>
          <w:tcPr>
            <w:tcW w:w="0" w:type="auto"/>
            <w:hideMark/>
          </w:tcPr>
          <w:p w14:paraId="3687BB44"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1.42</w:t>
            </w:r>
          </w:p>
        </w:tc>
        <w:tc>
          <w:tcPr>
            <w:tcW w:w="0" w:type="auto"/>
            <w:hideMark/>
          </w:tcPr>
          <w:p w14:paraId="1027FAE5" w14:textId="77777777" w:rsidR="00957942" w:rsidRPr="00957942" w:rsidRDefault="00957942" w:rsidP="00957942">
            <w:pPr>
              <w:jc w:val="center"/>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0.76–2.67</w:t>
            </w:r>
          </w:p>
        </w:tc>
        <w:tc>
          <w:tcPr>
            <w:tcW w:w="0" w:type="auto"/>
            <w:hideMark/>
          </w:tcPr>
          <w:p w14:paraId="68D0D8D7" w14:textId="77777777" w:rsidR="00957942" w:rsidRPr="00957942" w:rsidRDefault="00957942" w:rsidP="00957942">
            <w:pPr>
              <w:jc w:val="right"/>
              <w:rPr>
                <w:rFonts w:ascii="Times New Roman" w:eastAsia="Times New Roman" w:hAnsi="Times New Roman" w:cs="Times New Roman"/>
                <w:kern w:val="0"/>
                <w14:ligatures w14:val="none"/>
              </w:rPr>
            </w:pPr>
            <w:r w:rsidRPr="00957942">
              <w:rPr>
                <w:rFonts w:ascii="Times New Roman" w:eastAsia="Times New Roman" w:hAnsi="Times New Roman" w:cs="Times New Roman"/>
                <w:kern w:val="0"/>
                <w14:ligatures w14:val="none"/>
              </w:rPr>
              <w:t>0.274</w:t>
            </w:r>
          </w:p>
        </w:tc>
      </w:tr>
    </w:tbl>
    <w:p w14:paraId="0B3C594D" w14:textId="77777777" w:rsidR="00957942" w:rsidRDefault="00957942"/>
    <w:p w14:paraId="2045156C" w14:textId="77777777" w:rsidR="00984CE6" w:rsidRDefault="00984CE6"/>
    <w:p w14:paraId="3F7DB3F6" w14:textId="77777777" w:rsidR="00984CE6" w:rsidRDefault="00984CE6"/>
    <w:p w14:paraId="12CA760C" w14:textId="12127A57" w:rsidR="00984CE6" w:rsidRDefault="00984CE6">
      <w:r w:rsidRPr="00984CE6">
        <w:t>METHODS</w:t>
      </w:r>
    </w:p>
    <w:p w14:paraId="7B0F2B0C" w14:textId="1061D5B4" w:rsidR="00984CE6" w:rsidRDefault="00984CE6" w:rsidP="00984CE6">
      <w:r>
        <w:t xml:space="preserve">Data were collected in Microsoft Excel and analyzed using Python (SciPy and </w:t>
      </w:r>
      <w:proofErr w:type="spellStart"/>
      <w:r>
        <w:t>statsmodels</w:t>
      </w:r>
      <w:proofErr w:type="spellEnd"/>
      <w:r>
        <w:t xml:space="preserve"> libraries). Continuous variables are reported as medians with interquartile ranges, and categorical variables as frequencies and percentages.</w:t>
      </w:r>
    </w:p>
    <w:p w14:paraId="07D70C0C" w14:textId="1CFF7CC2" w:rsidR="00984CE6" w:rsidRDefault="00984CE6" w:rsidP="00984CE6">
      <w:r>
        <w:t xml:space="preserve">Bivariate analyses were performed to identify candidate predictors of postoperative outcomes of interest, including severe postoperative complications, new postoperative neurological deficits, and worsened Karnofsky Performance Status (KPS) at discharge. </w:t>
      </w:r>
      <w:r>
        <w:lastRenderedPageBreak/>
        <w:t>Continuous variables were compared using the Mann–Whitney U test, while categorical variables were analyzed using Fisher’s exact test.</w:t>
      </w:r>
    </w:p>
    <w:p w14:paraId="75D4545A" w14:textId="38909060" w:rsidR="00984CE6" w:rsidRDefault="00984CE6" w:rsidP="00984CE6">
      <w:r>
        <w:t>Variables demonstrating an association at p &lt; 0.10 on bivariate analysis were considered for inclusion in multivariable modeling. To reduce overfitting, the number of covariates entered into each model was limited according to an events-per-variable rule (approximately 10 events per predictor).</w:t>
      </w:r>
    </w:p>
    <w:p w14:paraId="51A303BD" w14:textId="04011508" w:rsidR="00984CE6" w:rsidRDefault="00984CE6" w:rsidP="00984CE6">
      <w:r>
        <w:t>Multivariable analysis was performed using logistic regression with fixed effects for treatment center, thereby adjusting for institutional variability. Bologna served as the reference center. Only variables contained within columns F through BM of the database were eligible for inclusion. Variables directly defining the outcomes were excluded from multivariable models.</w:t>
      </w:r>
    </w:p>
    <w:p w14:paraId="23868236" w14:textId="75D343F2" w:rsidR="00984CE6" w:rsidRDefault="00984CE6" w:rsidP="00984CE6">
      <w:r>
        <w:t>Odds ratios (ORs) with 95% confidence intervals (CIs) were calculated. All statistical tests were two-sided, and a p value &lt; 0.05 was considered statistically significant.</w:t>
      </w:r>
    </w:p>
    <w:p w14:paraId="2BF46639" w14:textId="77777777" w:rsidR="00D010AE" w:rsidRDefault="00D010AE" w:rsidP="00984CE6"/>
    <w:p w14:paraId="7016312C" w14:textId="41C357D7" w:rsidR="00D010AE" w:rsidRDefault="00D010AE" w:rsidP="00D010AE">
      <w:r>
        <w:t>RESULTS</w:t>
      </w:r>
    </w:p>
    <w:p w14:paraId="4C7872E4" w14:textId="7E0DB675" w:rsidR="00D010AE" w:rsidRDefault="00D010AE" w:rsidP="00D010AE">
      <w:r>
        <w:t>On center-adjusted multivariable logistic regression, ICA encasement (OR 3.07, 95% CI 1.51–6.25, p = 0.002) and increasing radiological midline shift (OR 1.07 per unit, 95% CI 1.02–1.13, p = 0.012) remained independently associated with severe postoperative complications.</w:t>
      </w:r>
    </w:p>
    <w:p w14:paraId="7B1B4174" w14:textId="6F1DA129" w:rsidR="00D010AE" w:rsidRDefault="00D010AE" w:rsidP="00D010AE">
      <w:r>
        <w:t>With respect to new postoperative neurological deficits, involvement of the lower cranial nerves (IX–XI) was strongly associated with increased odds (OR 7.74, 95% CI 3.04–19.73, p &lt; 0.001), as was cavernous sinus involvement (OR 2.61, 95% CI 1.50–4.55, p &lt; 0.001) and increasing tumor size. In contrast, complete tumor asportation was independently protective (OR 0.47, 95% CI 0.30–0.73, p = 0.001).</w:t>
      </w:r>
    </w:p>
    <w:p w14:paraId="3C7D56E0" w14:textId="5EBC8912" w:rsidR="00D010AE" w:rsidRDefault="00D010AE" w:rsidP="00D010AE">
      <w:r>
        <w:t>Regarding functional outcome, worsened KPS at discharge was independently associated with obesity (OR 3.49, 95% CI 1.63–7.48, p = 0.001), brainstem compression (OR 3.67, 95% CI 1.61–8.35, p = 0.002), and CN III/IV/VI involvement (OR 2.20, 95% CI 1.12–4.30, p = 0.022). Complete asportation was associated with a reduced risk of KPS decline (OR 0.46, 95% CI 0.27–0.76, p = 0.003).</w:t>
      </w:r>
    </w:p>
    <w:p w14:paraId="2995662E" w14:textId="2F7AAE63" w:rsidR="00D010AE" w:rsidRDefault="00D010AE" w:rsidP="00D010AE">
      <w:r>
        <w:t>After adjustment, center-specific differences persisted for neurological and functional outcomes, with treatment at the Cesena center associated with lower odds of new neurological deficits and worsened KPS at discharge compared with the reference center.</w:t>
      </w:r>
    </w:p>
    <w:p w14:paraId="5BD7C540" w14:textId="77777777" w:rsidR="006B5A66" w:rsidRDefault="006B5A66" w:rsidP="00D010AE"/>
    <w:p w14:paraId="7FCB990B" w14:textId="4C2AAA5B" w:rsidR="006B5A66" w:rsidRPr="00957942" w:rsidRDefault="006B5A66" w:rsidP="00D010AE">
      <w:r w:rsidRPr="006B5A66">
        <w:lastRenderedPageBreak/>
        <w:t>Tumor location per se was not independently associated with postoperative outcomes after adjustment for neurovascular involvement. Instead, specific anatomical relationships—including cranial nerve involvement, vascular encasement, and brainstem compression—were the primary drivers of operative risk. This suggests that detailed tumor–neurovascular anatomy may be more clinically meaningful than broad skull base location categories when counseling patients regarding postoperative risk.</w:t>
      </w:r>
    </w:p>
    <w:sectPr w:rsidR="006B5A66" w:rsidRPr="00957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42"/>
    <w:rsid w:val="000E25CA"/>
    <w:rsid w:val="00303F6E"/>
    <w:rsid w:val="005305B7"/>
    <w:rsid w:val="006B5A66"/>
    <w:rsid w:val="006D46CA"/>
    <w:rsid w:val="00852A02"/>
    <w:rsid w:val="008E7B6E"/>
    <w:rsid w:val="00957942"/>
    <w:rsid w:val="00984CE6"/>
    <w:rsid w:val="00A07825"/>
    <w:rsid w:val="00A216BD"/>
    <w:rsid w:val="00BB7A01"/>
    <w:rsid w:val="00CC06AD"/>
    <w:rsid w:val="00D010AE"/>
    <w:rsid w:val="00E15957"/>
    <w:rsid w:val="00E65E76"/>
    <w:rsid w:val="00EE54C5"/>
    <w:rsid w:val="00FC06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27761DC"/>
  <w15:chartTrackingRefBased/>
  <w15:docId w15:val="{2BBF3FF9-BEC3-3443-BBBF-F02B9F82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942"/>
    <w:rPr>
      <w:rFonts w:eastAsiaTheme="majorEastAsia" w:cstheme="majorBidi"/>
      <w:color w:val="272727" w:themeColor="text1" w:themeTint="D8"/>
    </w:rPr>
  </w:style>
  <w:style w:type="paragraph" w:styleId="Title">
    <w:name w:val="Title"/>
    <w:basedOn w:val="Normal"/>
    <w:next w:val="Normal"/>
    <w:link w:val="TitleChar"/>
    <w:uiPriority w:val="10"/>
    <w:qFormat/>
    <w:rsid w:val="00957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942"/>
    <w:pPr>
      <w:spacing w:before="160"/>
      <w:jc w:val="center"/>
    </w:pPr>
    <w:rPr>
      <w:i/>
      <w:iCs/>
      <w:color w:val="404040" w:themeColor="text1" w:themeTint="BF"/>
    </w:rPr>
  </w:style>
  <w:style w:type="character" w:customStyle="1" w:styleId="QuoteChar">
    <w:name w:val="Quote Char"/>
    <w:basedOn w:val="DefaultParagraphFont"/>
    <w:link w:val="Quote"/>
    <w:uiPriority w:val="29"/>
    <w:rsid w:val="00957942"/>
    <w:rPr>
      <w:i/>
      <w:iCs/>
      <w:color w:val="404040" w:themeColor="text1" w:themeTint="BF"/>
    </w:rPr>
  </w:style>
  <w:style w:type="paragraph" w:styleId="ListParagraph">
    <w:name w:val="List Paragraph"/>
    <w:basedOn w:val="Normal"/>
    <w:uiPriority w:val="34"/>
    <w:qFormat/>
    <w:rsid w:val="00957942"/>
    <w:pPr>
      <w:ind w:left="720"/>
      <w:contextualSpacing/>
    </w:pPr>
  </w:style>
  <w:style w:type="character" w:styleId="IntenseEmphasis">
    <w:name w:val="Intense Emphasis"/>
    <w:basedOn w:val="DefaultParagraphFont"/>
    <w:uiPriority w:val="21"/>
    <w:qFormat/>
    <w:rsid w:val="00957942"/>
    <w:rPr>
      <w:i/>
      <w:iCs/>
      <w:color w:val="0F4761" w:themeColor="accent1" w:themeShade="BF"/>
    </w:rPr>
  </w:style>
  <w:style w:type="paragraph" w:styleId="IntenseQuote">
    <w:name w:val="Intense Quote"/>
    <w:basedOn w:val="Normal"/>
    <w:next w:val="Normal"/>
    <w:link w:val="IntenseQuoteChar"/>
    <w:uiPriority w:val="30"/>
    <w:qFormat/>
    <w:rsid w:val="0095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942"/>
    <w:rPr>
      <w:i/>
      <w:iCs/>
      <w:color w:val="0F4761" w:themeColor="accent1" w:themeShade="BF"/>
    </w:rPr>
  </w:style>
  <w:style w:type="character" w:styleId="IntenseReference">
    <w:name w:val="Intense Reference"/>
    <w:basedOn w:val="DefaultParagraphFont"/>
    <w:uiPriority w:val="32"/>
    <w:qFormat/>
    <w:rsid w:val="00957942"/>
    <w:rPr>
      <w:b/>
      <w:bCs/>
      <w:smallCaps/>
      <w:color w:val="0F4761" w:themeColor="accent1" w:themeShade="BF"/>
      <w:spacing w:val="5"/>
    </w:rPr>
  </w:style>
  <w:style w:type="character" w:styleId="Strong">
    <w:name w:val="Strong"/>
    <w:basedOn w:val="DefaultParagraphFont"/>
    <w:uiPriority w:val="22"/>
    <w:qFormat/>
    <w:rsid w:val="00957942"/>
    <w:rPr>
      <w:b/>
      <w:bCs/>
    </w:rPr>
  </w:style>
  <w:style w:type="table" w:styleId="TableGrid">
    <w:name w:val="Table Grid"/>
    <w:basedOn w:val="TableNormal"/>
    <w:uiPriority w:val="39"/>
    <w:rsid w:val="00957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79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579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562</Words>
  <Characters>3901</Characters>
  <Application>Microsoft Office Word</Application>
  <DocSecurity>0</DocSecurity>
  <Lines>79</Lines>
  <Paragraphs>43</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Ben Dor</dc:creator>
  <cp:keywords/>
  <dc:description/>
  <cp:lastModifiedBy>Noa Ben Dor</cp:lastModifiedBy>
  <cp:revision>6</cp:revision>
  <dcterms:created xsi:type="dcterms:W3CDTF">2026-02-02T10:44:00Z</dcterms:created>
  <dcterms:modified xsi:type="dcterms:W3CDTF">2026-02-02T11:26:00Z</dcterms:modified>
</cp:coreProperties>
</file>