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23629" w14:textId="54161939" w:rsidR="006D46CA" w:rsidRPr="004943F5" w:rsidRDefault="00997D9D">
      <w:pPr>
        <w:rPr>
          <w:b/>
          <w:bCs/>
        </w:rPr>
      </w:pPr>
      <w:r w:rsidRPr="004943F5">
        <w:rPr>
          <w:b/>
          <w:bCs/>
        </w:rPr>
        <w:t>Permutation importance analysis</w:t>
      </w:r>
    </w:p>
    <w:p w14:paraId="5FB6484B" w14:textId="4FC4ED89" w:rsidR="004943F5" w:rsidRDefault="004943F5" w:rsidP="004943F5">
      <w:r>
        <w:t>Permutation feature importance was used to quantify the relative contribution of preoperatively available variables to model discrimination for each outcome. Importance values reflect the mean decrease in model performance after random permutation of each predictor and represent relative predictive contribution rather than causal effect. All models were restricted to preoperative variables to ensure applicability at the time of surgical decision-making.</w:t>
      </w:r>
    </w:p>
    <w:p w14:paraId="783EB820" w14:textId="65538291" w:rsidR="004943F5" w:rsidRDefault="004943F5" w:rsidP="004943F5">
      <w:r>
        <w:t>For the prediction of postoperative functional deterioration, defined as a ≥10-point decline in Karnofsky Performance Status (KPS) at discharge, permutation importance demonstrated a clear predominance of anatomical compression features. Brainstem compression was the most influential predictor, producing the largest and most consistent reduction in model performance when permuted. Obesity contributed a smaller but stable increment in predictive value, whereas radio-cystic necrosis showed a weak and unstable signal with confidence intervals overlapping zero. These findings indicate that early postoperative functional decline is driven primarily by preoperative anatomical compromise rather than by tumor size or most patient-level factors</w:t>
      </w:r>
    </w:p>
    <w:p w14:paraId="1346547E" w14:textId="1DC0B876" w:rsidR="004943F5" w:rsidRDefault="004943F5" w:rsidP="004943F5">
      <w:r>
        <w:t>In the model predicting new focal postoperative neurological deficits, importance was distributed across baseline functional status and local anatomical factors. Preoperative KPS ranked as the strongest predictor, highlighting the role of baseline neurological reserve. Brainstem compression was the second most important variable and showed a robust and consistent contribution. Preoperative cranial nerve deficits also ranked highly, indicating that existing focal neurological impairment increases the likelihood of postoperative worsening. Maximum axial tumor diameter and cardiorespiratory comorbidities contributed smaller increments in predictive performance, while cavernous sinus involvement showed limited additional value once other variables were included.</w:t>
      </w:r>
    </w:p>
    <w:p w14:paraId="5E822E16" w14:textId="5AAC442F" w:rsidR="004943F5" w:rsidRDefault="004943F5" w:rsidP="004943F5">
      <w:r>
        <w:t>For severe postoperative complications (Landriel–Ibáñez grade ≥ III), permutation importance was dominated by vascular and skull-base complexity. Internal carotid artery encasement emerged as the strongest predictor, followed by cavernous sinus involvement. Midline shift and brainstem compression contributed modest additional information, whereas tumor size and preoperative visual deficits added little incremental value after accounting for vascular relationships. This pattern suggests that severe complications are primarily determined by preoperative vascular anatomy rather than by baseline functional status or tumor dimensions.</w:t>
      </w:r>
    </w:p>
    <w:p w14:paraId="2CE3A9F3" w14:textId="4E8B8CFA" w:rsidR="004943F5" w:rsidRDefault="004943F5" w:rsidP="004943F5">
      <w:r>
        <w:t xml:space="preserve">Across all outcomes, brainstem compression was the only variable with a consistent predictive contribution, whereas baseline functional status primarily influenced </w:t>
      </w:r>
      <w:r>
        <w:lastRenderedPageBreak/>
        <w:t>neurological outcomes and vascular encasement features predominated in the prediction of severe complications. Tumor size alone consistently ranked below measures of anatomical involvement and patient vulnerability.</w:t>
      </w:r>
    </w:p>
    <w:p w14:paraId="07680AEA" w14:textId="77777777" w:rsidR="00323E97" w:rsidRDefault="00323E97" w:rsidP="004943F5"/>
    <w:p w14:paraId="5013F17A" w14:textId="180C717D" w:rsidR="00606DE2" w:rsidRDefault="00606DE2" w:rsidP="004943F5">
      <w:r>
        <w:t xml:space="preserve">For the discussion - </w:t>
      </w:r>
    </w:p>
    <w:p w14:paraId="1D79626C" w14:textId="39D81074" w:rsidR="00997D9D" w:rsidRDefault="004943F5" w:rsidP="004943F5">
      <w:r>
        <w:t>Notably, the variables with the highest permutation importance closely mirrored those identified as independent predictors in the multivariable regression analyses, supporting the internal coherence between the explanatory and predictive components of the study and reinforcing the clinical relevance of the selected preoperative features.</w:t>
      </w:r>
    </w:p>
    <w:p w14:paraId="6F245286" w14:textId="77777777" w:rsidR="00D266AD" w:rsidRDefault="00D266AD" w:rsidP="004943F5"/>
    <w:p w14:paraId="25294981" w14:textId="77777777" w:rsidR="00B060E4" w:rsidRPr="00B060E4" w:rsidRDefault="00B060E4" w:rsidP="00B060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060E4">
        <w:rPr>
          <w:rFonts w:ascii="Times New Roman" w:eastAsia="Times New Roman" w:hAnsi="Times New Roman" w:cs="Times New Roman"/>
          <w:b/>
          <w:bCs/>
          <w:kern w:val="0"/>
          <w:sz w:val="27"/>
          <w:szCs w:val="27"/>
          <w14:ligatures w14:val="none"/>
        </w:rPr>
        <w:t>Table X. Permutation importance of preoperative variables for prediction of KPS worsening at discharge</w:t>
      </w:r>
    </w:p>
    <w:tbl>
      <w:tblPr>
        <w:tblStyle w:val="TableGrid"/>
        <w:tblW w:w="0" w:type="auto"/>
        <w:tblLook w:val="04A0" w:firstRow="1" w:lastRow="0" w:firstColumn="1" w:lastColumn="0" w:noHBand="0" w:noVBand="1"/>
      </w:tblPr>
      <w:tblGrid>
        <w:gridCol w:w="777"/>
        <w:gridCol w:w="1920"/>
        <w:gridCol w:w="2266"/>
        <w:gridCol w:w="756"/>
        <w:gridCol w:w="1233"/>
        <w:gridCol w:w="1007"/>
        <w:gridCol w:w="1391"/>
      </w:tblGrid>
      <w:tr w:rsidR="00B060E4" w:rsidRPr="00B060E4" w14:paraId="6E7681E2" w14:textId="77777777" w:rsidTr="00B060E4">
        <w:tc>
          <w:tcPr>
            <w:tcW w:w="0" w:type="auto"/>
            <w:hideMark/>
          </w:tcPr>
          <w:p w14:paraId="4D581798" w14:textId="77777777" w:rsidR="00B060E4" w:rsidRPr="00B060E4" w:rsidRDefault="00B060E4" w:rsidP="00B060E4">
            <w:pPr>
              <w:jc w:val="right"/>
              <w:rPr>
                <w:rFonts w:ascii="Times New Roman" w:eastAsia="Times New Roman" w:hAnsi="Times New Roman" w:cs="Times New Roman"/>
                <w:b/>
                <w:bCs/>
                <w:kern w:val="0"/>
                <w14:ligatures w14:val="none"/>
              </w:rPr>
            </w:pPr>
            <w:r w:rsidRPr="00B060E4">
              <w:rPr>
                <w:rFonts w:ascii="Times New Roman" w:eastAsia="Times New Roman" w:hAnsi="Times New Roman" w:cs="Times New Roman"/>
                <w:b/>
                <w:bCs/>
                <w:kern w:val="0"/>
                <w14:ligatures w14:val="none"/>
              </w:rPr>
              <w:t>Rank</w:t>
            </w:r>
          </w:p>
        </w:tc>
        <w:tc>
          <w:tcPr>
            <w:tcW w:w="0" w:type="auto"/>
            <w:hideMark/>
          </w:tcPr>
          <w:p w14:paraId="478E117D" w14:textId="77777777" w:rsidR="00B060E4" w:rsidRPr="00B060E4" w:rsidRDefault="00B060E4" w:rsidP="00B060E4">
            <w:pPr>
              <w:jc w:val="center"/>
              <w:rPr>
                <w:rFonts w:ascii="Times New Roman" w:eastAsia="Times New Roman" w:hAnsi="Times New Roman" w:cs="Times New Roman"/>
                <w:b/>
                <w:bCs/>
                <w:kern w:val="0"/>
                <w14:ligatures w14:val="none"/>
              </w:rPr>
            </w:pPr>
            <w:r w:rsidRPr="00B060E4">
              <w:rPr>
                <w:rFonts w:ascii="Times New Roman" w:eastAsia="Times New Roman" w:hAnsi="Times New Roman" w:cs="Times New Roman"/>
                <w:b/>
                <w:bCs/>
                <w:kern w:val="0"/>
                <w14:ligatures w14:val="none"/>
              </w:rPr>
              <w:t>Preoperative variable</w:t>
            </w:r>
          </w:p>
        </w:tc>
        <w:tc>
          <w:tcPr>
            <w:tcW w:w="0" w:type="auto"/>
            <w:hideMark/>
          </w:tcPr>
          <w:p w14:paraId="3041B823" w14:textId="77777777" w:rsidR="00B060E4" w:rsidRPr="00B060E4" w:rsidRDefault="00B060E4" w:rsidP="00B060E4">
            <w:pPr>
              <w:jc w:val="center"/>
              <w:rPr>
                <w:rFonts w:ascii="Times New Roman" w:eastAsia="Times New Roman" w:hAnsi="Times New Roman" w:cs="Times New Roman"/>
                <w:b/>
                <w:bCs/>
                <w:kern w:val="0"/>
                <w14:ligatures w14:val="none"/>
              </w:rPr>
            </w:pPr>
            <w:r w:rsidRPr="00B060E4">
              <w:rPr>
                <w:rFonts w:ascii="Times New Roman" w:eastAsia="Times New Roman" w:hAnsi="Times New Roman" w:cs="Times New Roman"/>
                <w:b/>
                <w:bCs/>
                <w:kern w:val="0"/>
                <w14:ligatures w14:val="none"/>
              </w:rPr>
              <w:t>Mean permutation importance</w:t>
            </w:r>
          </w:p>
        </w:tc>
        <w:tc>
          <w:tcPr>
            <w:tcW w:w="0" w:type="auto"/>
            <w:hideMark/>
          </w:tcPr>
          <w:p w14:paraId="6441D461" w14:textId="77777777" w:rsidR="00B060E4" w:rsidRPr="00B060E4" w:rsidRDefault="00B060E4" w:rsidP="00B060E4">
            <w:pPr>
              <w:jc w:val="center"/>
              <w:rPr>
                <w:rFonts w:ascii="Times New Roman" w:eastAsia="Times New Roman" w:hAnsi="Times New Roman" w:cs="Times New Roman"/>
                <w:b/>
                <w:bCs/>
                <w:kern w:val="0"/>
                <w14:ligatures w14:val="none"/>
              </w:rPr>
            </w:pPr>
            <w:r w:rsidRPr="00B060E4">
              <w:rPr>
                <w:rFonts w:ascii="Times New Roman" w:eastAsia="Times New Roman" w:hAnsi="Times New Roman" w:cs="Times New Roman"/>
                <w:b/>
                <w:bCs/>
                <w:kern w:val="0"/>
                <w14:ligatures w14:val="none"/>
              </w:rPr>
              <w:t>SD</w:t>
            </w:r>
          </w:p>
        </w:tc>
        <w:tc>
          <w:tcPr>
            <w:tcW w:w="0" w:type="auto"/>
            <w:hideMark/>
          </w:tcPr>
          <w:p w14:paraId="4C7D79E2" w14:textId="77777777" w:rsidR="00B060E4" w:rsidRPr="00B060E4" w:rsidRDefault="00B060E4" w:rsidP="00B060E4">
            <w:pPr>
              <w:jc w:val="center"/>
              <w:rPr>
                <w:rFonts w:ascii="Times New Roman" w:eastAsia="Times New Roman" w:hAnsi="Times New Roman" w:cs="Times New Roman"/>
                <w:b/>
                <w:bCs/>
                <w:kern w:val="0"/>
                <w14:ligatures w14:val="none"/>
              </w:rPr>
            </w:pPr>
            <w:r w:rsidRPr="00B060E4">
              <w:rPr>
                <w:rFonts w:ascii="Times New Roman" w:eastAsia="Times New Roman" w:hAnsi="Times New Roman" w:cs="Times New Roman"/>
                <w:b/>
                <w:bCs/>
                <w:kern w:val="0"/>
                <w14:ligatures w14:val="none"/>
              </w:rPr>
              <w:t>95% CI</w:t>
            </w:r>
          </w:p>
        </w:tc>
        <w:tc>
          <w:tcPr>
            <w:tcW w:w="0" w:type="auto"/>
            <w:hideMark/>
          </w:tcPr>
          <w:p w14:paraId="04B9BB7B" w14:textId="77777777" w:rsidR="00B060E4" w:rsidRPr="00B060E4" w:rsidRDefault="00B060E4" w:rsidP="00B060E4">
            <w:pPr>
              <w:jc w:val="center"/>
              <w:rPr>
                <w:rFonts w:ascii="Times New Roman" w:eastAsia="Times New Roman" w:hAnsi="Times New Roman" w:cs="Times New Roman"/>
                <w:b/>
                <w:bCs/>
                <w:kern w:val="0"/>
                <w14:ligatures w14:val="none"/>
              </w:rPr>
            </w:pPr>
            <w:r w:rsidRPr="00B060E4">
              <w:rPr>
                <w:rFonts w:ascii="Times New Roman" w:eastAsia="Times New Roman" w:hAnsi="Times New Roman" w:cs="Times New Roman"/>
                <w:b/>
                <w:bCs/>
                <w:kern w:val="0"/>
                <w14:ligatures w14:val="none"/>
              </w:rPr>
              <w:t>Effect size</w:t>
            </w:r>
          </w:p>
        </w:tc>
        <w:tc>
          <w:tcPr>
            <w:tcW w:w="0" w:type="auto"/>
            <w:hideMark/>
          </w:tcPr>
          <w:p w14:paraId="645A1222" w14:textId="77777777" w:rsidR="00B060E4" w:rsidRPr="00B060E4" w:rsidRDefault="00B060E4" w:rsidP="00B060E4">
            <w:pPr>
              <w:jc w:val="center"/>
              <w:rPr>
                <w:rFonts w:ascii="Times New Roman" w:eastAsia="Times New Roman" w:hAnsi="Times New Roman" w:cs="Times New Roman"/>
                <w:b/>
                <w:bCs/>
                <w:kern w:val="0"/>
                <w14:ligatures w14:val="none"/>
              </w:rPr>
            </w:pPr>
            <w:r w:rsidRPr="00B060E4">
              <w:rPr>
                <w:rFonts w:ascii="Times New Roman" w:eastAsia="Times New Roman" w:hAnsi="Times New Roman" w:cs="Times New Roman"/>
                <w:b/>
                <w:bCs/>
                <w:kern w:val="0"/>
                <w14:ligatures w14:val="none"/>
              </w:rPr>
              <w:t>Approx. p value</w:t>
            </w:r>
          </w:p>
        </w:tc>
      </w:tr>
      <w:tr w:rsidR="00B060E4" w:rsidRPr="00B060E4" w14:paraId="36F84FBF" w14:textId="77777777" w:rsidTr="00B060E4">
        <w:tc>
          <w:tcPr>
            <w:tcW w:w="0" w:type="auto"/>
            <w:hideMark/>
          </w:tcPr>
          <w:p w14:paraId="5361ABA5" w14:textId="77777777" w:rsidR="00B060E4" w:rsidRPr="00B060E4" w:rsidRDefault="00B060E4" w:rsidP="00B060E4">
            <w:pPr>
              <w:jc w:val="right"/>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1</w:t>
            </w:r>
          </w:p>
        </w:tc>
        <w:tc>
          <w:tcPr>
            <w:tcW w:w="0" w:type="auto"/>
            <w:hideMark/>
          </w:tcPr>
          <w:p w14:paraId="6502AC09"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Brainstem compression</w:t>
            </w:r>
          </w:p>
        </w:tc>
        <w:tc>
          <w:tcPr>
            <w:tcW w:w="0" w:type="auto"/>
            <w:hideMark/>
          </w:tcPr>
          <w:p w14:paraId="328EBFF8"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0.103</w:t>
            </w:r>
          </w:p>
        </w:tc>
        <w:tc>
          <w:tcPr>
            <w:tcW w:w="0" w:type="auto"/>
            <w:hideMark/>
          </w:tcPr>
          <w:p w14:paraId="296759BF"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0.030</w:t>
            </w:r>
          </w:p>
        </w:tc>
        <w:tc>
          <w:tcPr>
            <w:tcW w:w="0" w:type="auto"/>
            <w:hideMark/>
          </w:tcPr>
          <w:p w14:paraId="7CEAC741"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0.052–0.147</w:t>
            </w:r>
          </w:p>
        </w:tc>
        <w:tc>
          <w:tcPr>
            <w:tcW w:w="0" w:type="auto"/>
            <w:hideMark/>
          </w:tcPr>
          <w:p w14:paraId="55EB04C5"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3.41</w:t>
            </w:r>
          </w:p>
        </w:tc>
        <w:tc>
          <w:tcPr>
            <w:tcW w:w="0" w:type="auto"/>
            <w:hideMark/>
          </w:tcPr>
          <w:p w14:paraId="3422D2A8"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&lt;0.001</w:t>
            </w:r>
          </w:p>
        </w:tc>
      </w:tr>
      <w:tr w:rsidR="00B060E4" w:rsidRPr="00B060E4" w14:paraId="23D09B77" w14:textId="77777777" w:rsidTr="00B060E4">
        <w:tc>
          <w:tcPr>
            <w:tcW w:w="0" w:type="auto"/>
            <w:hideMark/>
          </w:tcPr>
          <w:p w14:paraId="6F182E9F" w14:textId="77777777" w:rsidR="00B060E4" w:rsidRPr="00B060E4" w:rsidRDefault="00B060E4" w:rsidP="00B060E4">
            <w:pPr>
              <w:jc w:val="right"/>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2</w:t>
            </w:r>
          </w:p>
        </w:tc>
        <w:tc>
          <w:tcPr>
            <w:tcW w:w="0" w:type="auto"/>
            <w:hideMark/>
          </w:tcPr>
          <w:p w14:paraId="0DC17A9B"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Obesity</w:t>
            </w:r>
          </w:p>
        </w:tc>
        <w:tc>
          <w:tcPr>
            <w:tcW w:w="0" w:type="auto"/>
            <w:hideMark/>
          </w:tcPr>
          <w:p w14:paraId="528954EA"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0.027</w:t>
            </w:r>
          </w:p>
        </w:tc>
        <w:tc>
          <w:tcPr>
            <w:tcW w:w="0" w:type="auto"/>
            <w:hideMark/>
          </w:tcPr>
          <w:p w14:paraId="798B6F38"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0.008</w:t>
            </w:r>
          </w:p>
        </w:tc>
        <w:tc>
          <w:tcPr>
            <w:tcW w:w="0" w:type="auto"/>
            <w:hideMark/>
          </w:tcPr>
          <w:p w14:paraId="7536ABDB"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0.007–0.036</w:t>
            </w:r>
          </w:p>
        </w:tc>
        <w:tc>
          <w:tcPr>
            <w:tcW w:w="0" w:type="auto"/>
            <w:hideMark/>
          </w:tcPr>
          <w:p w14:paraId="4D6BDBC8"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3.24</w:t>
            </w:r>
          </w:p>
        </w:tc>
        <w:tc>
          <w:tcPr>
            <w:tcW w:w="0" w:type="auto"/>
            <w:hideMark/>
          </w:tcPr>
          <w:p w14:paraId="3DDB5ECC"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&lt;0.001</w:t>
            </w:r>
          </w:p>
        </w:tc>
      </w:tr>
      <w:tr w:rsidR="00B060E4" w:rsidRPr="00B060E4" w14:paraId="2FECA213" w14:textId="77777777" w:rsidTr="00B060E4">
        <w:tc>
          <w:tcPr>
            <w:tcW w:w="0" w:type="auto"/>
            <w:hideMark/>
          </w:tcPr>
          <w:p w14:paraId="14E8F887" w14:textId="77777777" w:rsidR="00B060E4" w:rsidRPr="00B060E4" w:rsidRDefault="00B060E4" w:rsidP="00B060E4">
            <w:pPr>
              <w:jc w:val="right"/>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3</w:t>
            </w:r>
          </w:p>
        </w:tc>
        <w:tc>
          <w:tcPr>
            <w:tcW w:w="0" w:type="auto"/>
            <w:hideMark/>
          </w:tcPr>
          <w:p w14:paraId="489313C8"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Radio-cystic necrosis</w:t>
            </w:r>
          </w:p>
        </w:tc>
        <w:tc>
          <w:tcPr>
            <w:tcW w:w="0" w:type="auto"/>
            <w:hideMark/>
          </w:tcPr>
          <w:p w14:paraId="4D6AB719"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0.013</w:t>
            </w:r>
          </w:p>
        </w:tc>
        <w:tc>
          <w:tcPr>
            <w:tcW w:w="0" w:type="auto"/>
            <w:hideMark/>
          </w:tcPr>
          <w:p w14:paraId="11FF12F3"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0.012</w:t>
            </w:r>
          </w:p>
        </w:tc>
        <w:tc>
          <w:tcPr>
            <w:tcW w:w="0" w:type="auto"/>
            <w:hideMark/>
          </w:tcPr>
          <w:p w14:paraId="0186B817"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−0.009–0.031</w:t>
            </w:r>
          </w:p>
        </w:tc>
        <w:tc>
          <w:tcPr>
            <w:tcW w:w="0" w:type="auto"/>
            <w:hideMark/>
          </w:tcPr>
          <w:p w14:paraId="28510C98"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1.09</w:t>
            </w:r>
          </w:p>
        </w:tc>
        <w:tc>
          <w:tcPr>
            <w:tcW w:w="0" w:type="auto"/>
            <w:hideMark/>
          </w:tcPr>
          <w:p w14:paraId="485CEC93"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0.17</w:t>
            </w:r>
          </w:p>
        </w:tc>
      </w:tr>
    </w:tbl>
    <w:p w14:paraId="3D55A33F" w14:textId="77777777" w:rsidR="00B060E4" w:rsidRDefault="00B060E4" w:rsidP="004943F5"/>
    <w:p w14:paraId="2F8270E5" w14:textId="77777777" w:rsidR="00B060E4" w:rsidRPr="00B060E4" w:rsidRDefault="00B060E4" w:rsidP="00B060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060E4">
        <w:rPr>
          <w:rFonts w:ascii="Times New Roman" w:eastAsia="Times New Roman" w:hAnsi="Times New Roman" w:cs="Times New Roman"/>
          <w:b/>
          <w:bCs/>
          <w:kern w:val="0"/>
          <w:sz w:val="27"/>
          <w:szCs w:val="27"/>
          <w14:ligatures w14:val="none"/>
        </w:rPr>
        <w:t>Table Y. Permutation importance of preoperative variables for prediction of new postoperative neurological deficits</w:t>
      </w:r>
    </w:p>
    <w:tbl>
      <w:tblPr>
        <w:tblStyle w:val="TableGrid"/>
        <w:tblW w:w="0" w:type="auto"/>
        <w:tblLook w:val="04A0" w:firstRow="1" w:lastRow="0" w:firstColumn="1" w:lastColumn="0" w:noHBand="0" w:noVBand="1"/>
      </w:tblPr>
      <w:tblGrid>
        <w:gridCol w:w="777"/>
        <w:gridCol w:w="2327"/>
        <w:gridCol w:w="2057"/>
        <w:gridCol w:w="756"/>
        <w:gridCol w:w="1173"/>
        <w:gridCol w:w="958"/>
        <w:gridCol w:w="1302"/>
      </w:tblGrid>
      <w:tr w:rsidR="00B060E4" w:rsidRPr="00B060E4" w14:paraId="571EBA6D" w14:textId="77777777" w:rsidTr="00B060E4">
        <w:tc>
          <w:tcPr>
            <w:tcW w:w="0" w:type="auto"/>
            <w:hideMark/>
          </w:tcPr>
          <w:p w14:paraId="68F250E2" w14:textId="77777777" w:rsidR="00B060E4" w:rsidRPr="00B060E4" w:rsidRDefault="00B060E4" w:rsidP="00B060E4">
            <w:pPr>
              <w:jc w:val="right"/>
              <w:rPr>
                <w:rFonts w:ascii="Times New Roman" w:eastAsia="Times New Roman" w:hAnsi="Times New Roman" w:cs="Times New Roman"/>
                <w:b/>
                <w:bCs/>
                <w:kern w:val="0"/>
                <w14:ligatures w14:val="none"/>
              </w:rPr>
            </w:pPr>
            <w:r w:rsidRPr="00B060E4">
              <w:rPr>
                <w:rFonts w:ascii="Times New Roman" w:eastAsia="Times New Roman" w:hAnsi="Times New Roman" w:cs="Times New Roman"/>
                <w:b/>
                <w:bCs/>
                <w:kern w:val="0"/>
                <w14:ligatures w14:val="none"/>
              </w:rPr>
              <w:t>Rank</w:t>
            </w:r>
          </w:p>
        </w:tc>
        <w:tc>
          <w:tcPr>
            <w:tcW w:w="0" w:type="auto"/>
            <w:hideMark/>
          </w:tcPr>
          <w:p w14:paraId="3315D55B" w14:textId="77777777" w:rsidR="00B060E4" w:rsidRPr="00B060E4" w:rsidRDefault="00B060E4" w:rsidP="00B060E4">
            <w:pPr>
              <w:jc w:val="center"/>
              <w:rPr>
                <w:rFonts w:ascii="Times New Roman" w:eastAsia="Times New Roman" w:hAnsi="Times New Roman" w:cs="Times New Roman"/>
                <w:b/>
                <w:bCs/>
                <w:kern w:val="0"/>
                <w14:ligatures w14:val="none"/>
              </w:rPr>
            </w:pPr>
            <w:r w:rsidRPr="00B060E4">
              <w:rPr>
                <w:rFonts w:ascii="Times New Roman" w:eastAsia="Times New Roman" w:hAnsi="Times New Roman" w:cs="Times New Roman"/>
                <w:b/>
                <w:bCs/>
                <w:kern w:val="0"/>
                <w14:ligatures w14:val="none"/>
              </w:rPr>
              <w:t>Preoperative variable</w:t>
            </w:r>
          </w:p>
        </w:tc>
        <w:tc>
          <w:tcPr>
            <w:tcW w:w="0" w:type="auto"/>
            <w:hideMark/>
          </w:tcPr>
          <w:p w14:paraId="67A6C312" w14:textId="77777777" w:rsidR="00B060E4" w:rsidRPr="00B060E4" w:rsidRDefault="00B060E4" w:rsidP="00B060E4">
            <w:pPr>
              <w:jc w:val="center"/>
              <w:rPr>
                <w:rFonts w:ascii="Times New Roman" w:eastAsia="Times New Roman" w:hAnsi="Times New Roman" w:cs="Times New Roman"/>
                <w:b/>
                <w:bCs/>
                <w:kern w:val="0"/>
                <w14:ligatures w14:val="none"/>
              </w:rPr>
            </w:pPr>
            <w:r w:rsidRPr="00B060E4">
              <w:rPr>
                <w:rFonts w:ascii="Times New Roman" w:eastAsia="Times New Roman" w:hAnsi="Times New Roman" w:cs="Times New Roman"/>
                <w:b/>
                <w:bCs/>
                <w:kern w:val="0"/>
                <w14:ligatures w14:val="none"/>
              </w:rPr>
              <w:t>Mean permutation importance</w:t>
            </w:r>
          </w:p>
        </w:tc>
        <w:tc>
          <w:tcPr>
            <w:tcW w:w="0" w:type="auto"/>
            <w:hideMark/>
          </w:tcPr>
          <w:p w14:paraId="03968087" w14:textId="77777777" w:rsidR="00B060E4" w:rsidRPr="00B060E4" w:rsidRDefault="00B060E4" w:rsidP="00B060E4">
            <w:pPr>
              <w:jc w:val="center"/>
              <w:rPr>
                <w:rFonts w:ascii="Times New Roman" w:eastAsia="Times New Roman" w:hAnsi="Times New Roman" w:cs="Times New Roman"/>
                <w:b/>
                <w:bCs/>
                <w:kern w:val="0"/>
                <w14:ligatures w14:val="none"/>
              </w:rPr>
            </w:pPr>
            <w:r w:rsidRPr="00B060E4">
              <w:rPr>
                <w:rFonts w:ascii="Times New Roman" w:eastAsia="Times New Roman" w:hAnsi="Times New Roman" w:cs="Times New Roman"/>
                <w:b/>
                <w:bCs/>
                <w:kern w:val="0"/>
                <w14:ligatures w14:val="none"/>
              </w:rPr>
              <w:t>SD</w:t>
            </w:r>
          </w:p>
        </w:tc>
        <w:tc>
          <w:tcPr>
            <w:tcW w:w="0" w:type="auto"/>
            <w:hideMark/>
          </w:tcPr>
          <w:p w14:paraId="3FCD7F9A" w14:textId="77777777" w:rsidR="00B060E4" w:rsidRPr="00B060E4" w:rsidRDefault="00B060E4" w:rsidP="00B060E4">
            <w:pPr>
              <w:jc w:val="center"/>
              <w:rPr>
                <w:rFonts w:ascii="Times New Roman" w:eastAsia="Times New Roman" w:hAnsi="Times New Roman" w:cs="Times New Roman"/>
                <w:b/>
                <w:bCs/>
                <w:kern w:val="0"/>
                <w14:ligatures w14:val="none"/>
              </w:rPr>
            </w:pPr>
            <w:r w:rsidRPr="00B060E4">
              <w:rPr>
                <w:rFonts w:ascii="Times New Roman" w:eastAsia="Times New Roman" w:hAnsi="Times New Roman" w:cs="Times New Roman"/>
                <w:b/>
                <w:bCs/>
                <w:kern w:val="0"/>
                <w14:ligatures w14:val="none"/>
              </w:rPr>
              <w:t>95% CI</w:t>
            </w:r>
          </w:p>
        </w:tc>
        <w:tc>
          <w:tcPr>
            <w:tcW w:w="0" w:type="auto"/>
            <w:hideMark/>
          </w:tcPr>
          <w:p w14:paraId="49A51880" w14:textId="77777777" w:rsidR="00B060E4" w:rsidRPr="00B060E4" w:rsidRDefault="00B060E4" w:rsidP="00B060E4">
            <w:pPr>
              <w:jc w:val="center"/>
              <w:rPr>
                <w:rFonts w:ascii="Times New Roman" w:eastAsia="Times New Roman" w:hAnsi="Times New Roman" w:cs="Times New Roman"/>
                <w:b/>
                <w:bCs/>
                <w:kern w:val="0"/>
                <w14:ligatures w14:val="none"/>
              </w:rPr>
            </w:pPr>
            <w:r w:rsidRPr="00B060E4">
              <w:rPr>
                <w:rFonts w:ascii="Times New Roman" w:eastAsia="Times New Roman" w:hAnsi="Times New Roman" w:cs="Times New Roman"/>
                <w:b/>
                <w:bCs/>
                <w:kern w:val="0"/>
                <w14:ligatures w14:val="none"/>
              </w:rPr>
              <w:t>Effect size</w:t>
            </w:r>
          </w:p>
        </w:tc>
        <w:tc>
          <w:tcPr>
            <w:tcW w:w="0" w:type="auto"/>
            <w:hideMark/>
          </w:tcPr>
          <w:p w14:paraId="5DA9D35F" w14:textId="77777777" w:rsidR="00B060E4" w:rsidRPr="00B060E4" w:rsidRDefault="00B060E4" w:rsidP="00B060E4">
            <w:pPr>
              <w:jc w:val="center"/>
              <w:rPr>
                <w:rFonts w:ascii="Times New Roman" w:eastAsia="Times New Roman" w:hAnsi="Times New Roman" w:cs="Times New Roman"/>
                <w:b/>
                <w:bCs/>
                <w:kern w:val="0"/>
                <w14:ligatures w14:val="none"/>
              </w:rPr>
            </w:pPr>
            <w:r w:rsidRPr="00B060E4">
              <w:rPr>
                <w:rFonts w:ascii="Times New Roman" w:eastAsia="Times New Roman" w:hAnsi="Times New Roman" w:cs="Times New Roman"/>
                <w:b/>
                <w:bCs/>
                <w:kern w:val="0"/>
                <w14:ligatures w14:val="none"/>
              </w:rPr>
              <w:t>Approx. p value</w:t>
            </w:r>
          </w:p>
        </w:tc>
      </w:tr>
      <w:tr w:rsidR="00B060E4" w:rsidRPr="00B060E4" w14:paraId="2C46C7FD" w14:textId="77777777" w:rsidTr="00B060E4">
        <w:tc>
          <w:tcPr>
            <w:tcW w:w="0" w:type="auto"/>
            <w:hideMark/>
          </w:tcPr>
          <w:p w14:paraId="50E2DC69" w14:textId="77777777" w:rsidR="00B060E4" w:rsidRPr="00B060E4" w:rsidRDefault="00B060E4" w:rsidP="00B060E4">
            <w:pPr>
              <w:jc w:val="right"/>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1</w:t>
            </w:r>
          </w:p>
        </w:tc>
        <w:tc>
          <w:tcPr>
            <w:tcW w:w="0" w:type="auto"/>
            <w:hideMark/>
          </w:tcPr>
          <w:p w14:paraId="2A2E88CE"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Preoperative KPS</w:t>
            </w:r>
          </w:p>
        </w:tc>
        <w:tc>
          <w:tcPr>
            <w:tcW w:w="0" w:type="auto"/>
            <w:hideMark/>
          </w:tcPr>
          <w:p w14:paraId="56430673"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0.058</w:t>
            </w:r>
          </w:p>
        </w:tc>
        <w:tc>
          <w:tcPr>
            <w:tcW w:w="0" w:type="auto"/>
            <w:hideMark/>
          </w:tcPr>
          <w:p w14:paraId="645B4BC8"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0.029</w:t>
            </w:r>
          </w:p>
        </w:tc>
        <w:tc>
          <w:tcPr>
            <w:tcW w:w="0" w:type="auto"/>
            <w:hideMark/>
          </w:tcPr>
          <w:p w14:paraId="1D7727FA"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0.010–0.121</w:t>
            </w:r>
          </w:p>
        </w:tc>
        <w:tc>
          <w:tcPr>
            <w:tcW w:w="0" w:type="auto"/>
            <w:hideMark/>
          </w:tcPr>
          <w:p w14:paraId="7F456002"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2.03</w:t>
            </w:r>
          </w:p>
        </w:tc>
        <w:tc>
          <w:tcPr>
            <w:tcW w:w="0" w:type="auto"/>
            <w:hideMark/>
          </w:tcPr>
          <w:p w14:paraId="238123CA"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&lt;0.001</w:t>
            </w:r>
          </w:p>
        </w:tc>
      </w:tr>
      <w:tr w:rsidR="00B060E4" w:rsidRPr="00B060E4" w14:paraId="573608AF" w14:textId="77777777" w:rsidTr="00B060E4">
        <w:tc>
          <w:tcPr>
            <w:tcW w:w="0" w:type="auto"/>
            <w:hideMark/>
          </w:tcPr>
          <w:p w14:paraId="3272F2F4" w14:textId="77777777" w:rsidR="00B060E4" w:rsidRPr="00B060E4" w:rsidRDefault="00B060E4" w:rsidP="00B060E4">
            <w:pPr>
              <w:jc w:val="right"/>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2</w:t>
            </w:r>
          </w:p>
        </w:tc>
        <w:tc>
          <w:tcPr>
            <w:tcW w:w="0" w:type="auto"/>
            <w:hideMark/>
          </w:tcPr>
          <w:p w14:paraId="7EDF3D66"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Brainstem compression</w:t>
            </w:r>
          </w:p>
        </w:tc>
        <w:tc>
          <w:tcPr>
            <w:tcW w:w="0" w:type="auto"/>
            <w:hideMark/>
          </w:tcPr>
          <w:p w14:paraId="55436C30"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0.037</w:t>
            </w:r>
          </w:p>
        </w:tc>
        <w:tc>
          <w:tcPr>
            <w:tcW w:w="0" w:type="auto"/>
            <w:hideMark/>
          </w:tcPr>
          <w:p w14:paraId="169A4A20"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0.009</w:t>
            </w:r>
          </w:p>
        </w:tc>
        <w:tc>
          <w:tcPr>
            <w:tcW w:w="0" w:type="auto"/>
            <w:hideMark/>
          </w:tcPr>
          <w:p w14:paraId="381A7B8D"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0.023–0.054</w:t>
            </w:r>
          </w:p>
        </w:tc>
        <w:tc>
          <w:tcPr>
            <w:tcW w:w="0" w:type="auto"/>
            <w:hideMark/>
          </w:tcPr>
          <w:p w14:paraId="6B02A676"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4.32</w:t>
            </w:r>
          </w:p>
        </w:tc>
        <w:tc>
          <w:tcPr>
            <w:tcW w:w="0" w:type="auto"/>
            <w:hideMark/>
          </w:tcPr>
          <w:p w14:paraId="5FB8FFB1"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&lt;0.001</w:t>
            </w:r>
          </w:p>
        </w:tc>
      </w:tr>
      <w:tr w:rsidR="00B060E4" w:rsidRPr="00B060E4" w14:paraId="5B53DB61" w14:textId="77777777" w:rsidTr="00B060E4">
        <w:tc>
          <w:tcPr>
            <w:tcW w:w="0" w:type="auto"/>
            <w:hideMark/>
          </w:tcPr>
          <w:p w14:paraId="4EF8042E" w14:textId="77777777" w:rsidR="00B060E4" w:rsidRPr="00B060E4" w:rsidRDefault="00B060E4" w:rsidP="00B060E4">
            <w:pPr>
              <w:jc w:val="right"/>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3</w:t>
            </w:r>
          </w:p>
        </w:tc>
        <w:tc>
          <w:tcPr>
            <w:tcW w:w="0" w:type="auto"/>
            <w:hideMark/>
          </w:tcPr>
          <w:p w14:paraId="1BC5340D"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Cranial nerve deficits</w:t>
            </w:r>
          </w:p>
        </w:tc>
        <w:tc>
          <w:tcPr>
            <w:tcW w:w="0" w:type="auto"/>
            <w:hideMark/>
          </w:tcPr>
          <w:p w14:paraId="776A9A4E"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0.032</w:t>
            </w:r>
          </w:p>
        </w:tc>
        <w:tc>
          <w:tcPr>
            <w:tcW w:w="0" w:type="auto"/>
            <w:hideMark/>
          </w:tcPr>
          <w:p w14:paraId="4FAE9C65"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0.017</w:t>
            </w:r>
          </w:p>
        </w:tc>
        <w:tc>
          <w:tcPr>
            <w:tcW w:w="0" w:type="auto"/>
            <w:hideMark/>
          </w:tcPr>
          <w:p w14:paraId="78B2A47B"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0.007–0.062</w:t>
            </w:r>
          </w:p>
        </w:tc>
        <w:tc>
          <w:tcPr>
            <w:tcW w:w="0" w:type="auto"/>
            <w:hideMark/>
          </w:tcPr>
          <w:p w14:paraId="785D020F"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1.92</w:t>
            </w:r>
          </w:p>
        </w:tc>
        <w:tc>
          <w:tcPr>
            <w:tcW w:w="0" w:type="auto"/>
            <w:hideMark/>
          </w:tcPr>
          <w:p w14:paraId="2324F190"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&lt;0.001</w:t>
            </w:r>
          </w:p>
        </w:tc>
      </w:tr>
      <w:tr w:rsidR="00B060E4" w:rsidRPr="00B060E4" w14:paraId="697705AC" w14:textId="77777777" w:rsidTr="00B060E4">
        <w:tc>
          <w:tcPr>
            <w:tcW w:w="0" w:type="auto"/>
            <w:hideMark/>
          </w:tcPr>
          <w:p w14:paraId="3B140FAD" w14:textId="77777777" w:rsidR="00B060E4" w:rsidRPr="00B060E4" w:rsidRDefault="00B060E4" w:rsidP="00B060E4">
            <w:pPr>
              <w:jc w:val="right"/>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4</w:t>
            </w:r>
          </w:p>
        </w:tc>
        <w:tc>
          <w:tcPr>
            <w:tcW w:w="0" w:type="auto"/>
            <w:hideMark/>
          </w:tcPr>
          <w:p w14:paraId="0BAA27DB"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Max axial tumor diameter (mm)</w:t>
            </w:r>
          </w:p>
        </w:tc>
        <w:tc>
          <w:tcPr>
            <w:tcW w:w="0" w:type="auto"/>
            <w:hideMark/>
          </w:tcPr>
          <w:p w14:paraId="19C7C564"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0.021</w:t>
            </w:r>
          </w:p>
        </w:tc>
        <w:tc>
          <w:tcPr>
            <w:tcW w:w="0" w:type="auto"/>
            <w:hideMark/>
          </w:tcPr>
          <w:p w14:paraId="1FEC5616"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0.010</w:t>
            </w:r>
          </w:p>
        </w:tc>
        <w:tc>
          <w:tcPr>
            <w:tcW w:w="0" w:type="auto"/>
            <w:hideMark/>
          </w:tcPr>
          <w:p w14:paraId="48AF4BC7"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0.001–0.036</w:t>
            </w:r>
          </w:p>
        </w:tc>
        <w:tc>
          <w:tcPr>
            <w:tcW w:w="0" w:type="auto"/>
            <w:hideMark/>
          </w:tcPr>
          <w:p w14:paraId="07FAFD91"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2.19</w:t>
            </w:r>
          </w:p>
        </w:tc>
        <w:tc>
          <w:tcPr>
            <w:tcW w:w="0" w:type="auto"/>
            <w:hideMark/>
          </w:tcPr>
          <w:p w14:paraId="42DE6936"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0.03</w:t>
            </w:r>
          </w:p>
        </w:tc>
      </w:tr>
      <w:tr w:rsidR="00B060E4" w:rsidRPr="00B060E4" w14:paraId="6546894A" w14:textId="77777777" w:rsidTr="00B060E4">
        <w:tc>
          <w:tcPr>
            <w:tcW w:w="0" w:type="auto"/>
            <w:hideMark/>
          </w:tcPr>
          <w:p w14:paraId="16217526" w14:textId="77777777" w:rsidR="00B060E4" w:rsidRPr="00B060E4" w:rsidRDefault="00B060E4" w:rsidP="00B060E4">
            <w:pPr>
              <w:jc w:val="right"/>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5</w:t>
            </w:r>
          </w:p>
        </w:tc>
        <w:tc>
          <w:tcPr>
            <w:tcW w:w="0" w:type="auto"/>
            <w:hideMark/>
          </w:tcPr>
          <w:p w14:paraId="1C97E83B"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Cardiorespiratory comorbidities</w:t>
            </w:r>
          </w:p>
        </w:tc>
        <w:tc>
          <w:tcPr>
            <w:tcW w:w="0" w:type="auto"/>
            <w:hideMark/>
          </w:tcPr>
          <w:p w14:paraId="0AB4E678"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0.015</w:t>
            </w:r>
          </w:p>
        </w:tc>
        <w:tc>
          <w:tcPr>
            <w:tcW w:w="0" w:type="auto"/>
            <w:hideMark/>
          </w:tcPr>
          <w:p w14:paraId="58FA4490"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0.006</w:t>
            </w:r>
          </w:p>
        </w:tc>
        <w:tc>
          <w:tcPr>
            <w:tcW w:w="0" w:type="auto"/>
            <w:hideMark/>
          </w:tcPr>
          <w:p w14:paraId="14252048"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0.001–0.025</w:t>
            </w:r>
          </w:p>
        </w:tc>
        <w:tc>
          <w:tcPr>
            <w:tcW w:w="0" w:type="auto"/>
            <w:hideMark/>
          </w:tcPr>
          <w:p w14:paraId="6F542712"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2.56</w:t>
            </w:r>
          </w:p>
        </w:tc>
        <w:tc>
          <w:tcPr>
            <w:tcW w:w="0" w:type="auto"/>
            <w:hideMark/>
          </w:tcPr>
          <w:p w14:paraId="0A6BD13B"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0.03</w:t>
            </w:r>
          </w:p>
        </w:tc>
      </w:tr>
      <w:tr w:rsidR="00B060E4" w:rsidRPr="00B060E4" w14:paraId="0FBA070F" w14:textId="77777777" w:rsidTr="00B060E4">
        <w:tc>
          <w:tcPr>
            <w:tcW w:w="0" w:type="auto"/>
            <w:hideMark/>
          </w:tcPr>
          <w:p w14:paraId="5E0DD950" w14:textId="77777777" w:rsidR="00B060E4" w:rsidRPr="00B060E4" w:rsidRDefault="00B060E4" w:rsidP="00B060E4">
            <w:pPr>
              <w:jc w:val="right"/>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lastRenderedPageBreak/>
              <w:t>6</w:t>
            </w:r>
          </w:p>
        </w:tc>
        <w:tc>
          <w:tcPr>
            <w:tcW w:w="0" w:type="auto"/>
            <w:hideMark/>
          </w:tcPr>
          <w:p w14:paraId="5456AE73"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Cavernous sinus involvement</w:t>
            </w:r>
          </w:p>
        </w:tc>
        <w:tc>
          <w:tcPr>
            <w:tcW w:w="0" w:type="auto"/>
            <w:hideMark/>
          </w:tcPr>
          <w:p w14:paraId="1C6F4A32"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0.015</w:t>
            </w:r>
          </w:p>
        </w:tc>
        <w:tc>
          <w:tcPr>
            <w:tcW w:w="0" w:type="auto"/>
            <w:hideMark/>
          </w:tcPr>
          <w:p w14:paraId="747E2086"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0.023</w:t>
            </w:r>
          </w:p>
        </w:tc>
        <w:tc>
          <w:tcPr>
            <w:tcW w:w="0" w:type="auto"/>
            <w:hideMark/>
          </w:tcPr>
          <w:p w14:paraId="25B2B602"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−0.031–0.056</w:t>
            </w:r>
          </w:p>
        </w:tc>
        <w:tc>
          <w:tcPr>
            <w:tcW w:w="0" w:type="auto"/>
            <w:hideMark/>
          </w:tcPr>
          <w:p w14:paraId="53FD31D5"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0.65</w:t>
            </w:r>
          </w:p>
        </w:tc>
        <w:tc>
          <w:tcPr>
            <w:tcW w:w="0" w:type="auto"/>
            <w:hideMark/>
          </w:tcPr>
          <w:p w14:paraId="336DA0AE"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0.27</w:t>
            </w:r>
          </w:p>
        </w:tc>
      </w:tr>
    </w:tbl>
    <w:p w14:paraId="1EB572D2" w14:textId="77777777" w:rsidR="00D266AD" w:rsidRDefault="00D266AD" w:rsidP="004943F5"/>
    <w:p w14:paraId="773ED807" w14:textId="77777777" w:rsidR="00B060E4" w:rsidRPr="00B060E4" w:rsidRDefault="00B060E4" w:rsidP="00B060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060E4">
        <w:rPr>
          <w:rFonts w:ascii="Times New Roman" w:eastAsia="Times New Roman" w:hAnsi="Times New Roman" w:cs="Times New Roman"/>
          <w:b/>
          <w:bCs/>
          <w:kern w:val="0"/>
          <w:sz w:val="27"/>
          <w:szCs w:val="27"/>
          <w14:ligatures w14:val="none"/>
        </w:rPr>
        <w:t>Table Z. Permutation importance of preoperative variables for prediction of severe postoperative complications (Landriel–Ibáñez grade ≥ III)</w:t>
      </w:r>
    </w:p>
    <w:tbl>
      <w:tblPr>
        <w:tblStyle w:val="TableGrid"/>
        <w:tblW w:w="0" w:type="auto"/>
        <w:tblLook w:val="04A0" w:firstRow="1" w:lastRow="0" w:firstColumn="1" w:lastColumn="0" w:noHBand="0" w:noVBand="1"/>
      </w:tblPr>
      <w:tblGrid>
        <w:gridCol w:w="777"/>
        <w:gridCol w:w="2151"/>
        <w:gridCol w:w="2148"/>
        <w:gridCol w:w="756"/>
        <w:gridCol w:w="1199"/>
        <w:gridCol w:w="979"/>
        <w:gridCol w:w="1340"/>
      </w:tblGrid>
      <w:tr w:rsidR="00B060E4" w:rsidRPr="00B060E4" w14:paraId="7F4CFA34" w14:textId="77777777" w:rsidTr="009E1462">
        <w:tc>
          <w:tcPr>
            <w:tcW w:w="0" w:type="auto"/>
            <w:hideMark/>
          </w:tcPr>
          <w:p w14:paraId="5F5A19C4" w14:textId="77777777" w:rsidR="00B060E4" w:rsidRPr="00B060E4" w:rsidRDefault="00B060E4" w:rsidP="00B060E4">
            <w:pPr>
              <w:jc w:val="right"/>
              <w:rPr>
                <w:rFonts w:ascii="Times New Roman" w:eastAsia="Times New Roman" w:hAnsi="Times New Roman" w:cs="Times New Roman"/>
                <w:b/>
                <w:bCs/>
                <w:kern w:val="0"/>
                <w14:ligatures w14:val="none"/>
              </w:rPr>
            </w:pPr>
            <w:r w:rsidRPr="00B060E4">
              <w:rPr>
                <w:rFonts w:ascii="Times New Roman" w:eastAsia="Times New Roman" w:hAnsi="Times New Roman" w:cs="Times New Roman"/>
                <w:b/>
                <w:bCs/>
                <w:kern w:val="0"/>
                <w14:ligatures w14:val="none"/>
              </w:rPr>
              <w:t>Rank</w:t>
            </w:r>
          </w:p>
        </w:tc>
        <w:tc>
          <w:tcPr>
            <w:tcW w:w="0" w:type="auto"/>
            <w:hideMark/>
          </w:tcPr>
          <w:p w14:paraId="1E9B69B1" w14:textId="77777777" w:rsidR="00B060E4" w:rsidRPr="00B060E4" w:rsidRDefault="00B060E4" w:rsidP="00B060E4">
            <w:pPr>
              <w:jc w:val="center"/>
              <w:rPr>
                <w:rFonts w:ascii="Times New Roman" w:eastAsia="Times New Roman" w:hAnsi="Times New Roman" w:cs="Times New Roman"/>
                <w:b/>
                <w:bCs/>
                <w:kern w:val="0"/>
                <w14:ligatures w14:val="none"/>
              </w:rPr>
            </w:pPr>
            <w:r w:rsidRPr="00B060E4">
              <w:rPr>
                <w:rFonts w:ascii="Times New Roman" w:eastAsia="Times New Roman" w:hAnsi="Times New Roman" w:cs="Times New Roman"/>
                <w:b/>
                <w:bCs/>
                <w:kern w:val="0"/>
                <w14:ligatures w14:val="none"/>
              </w:rPr>
              <w:t>Preoperative variable</w:t>
            </w:r>
          </w:p>
        </w:tc>
        <w:tc>
          <w:tcPr>
            <w:tcW w:w="0" w:type="auto"/>
            <w:hideMark/>
          </w:tcPr>
          <w:p w14:paraId="4B327DF2" w14:textId="77777777" w:rsidR="00B060E4" w:rsidRPr="00B060E4" w:rsidRDefault="00B060E4" w:rsidP="00B060E4">
            <w:pPr>
              <w:jc w:val="center"/>
              <w:rPr>
                <w:rFonts w:ascii="Times New Roman" w:eastAsia="Times New Roman" w:hAnsi="Times New Roman" w:cs="Times New Roman"/>
                <w:b/>
                <w:bCs/>
                <w:kern w:val="0"/>
                <w14:ligatures w14:val="none"/>
              </w:rPr>
            </w:pPr>
            <w:r w:rsidRPr="00B060E4">
              <w:rPr>
                <w:rFonts w:ascii="Times New Roman" w:eastAsia="Times New Roman" w:hAnsi="Times New Roman" w:cs="Times New Roman"/>
                <w:b/>
                <w:bCs/>
                <w:kern w:val="0"/>
                <w14:ligatures w14:val="none"/>
              </w:rPr>
              <w:t>Mean permutation importance</w:t>
            </w:r>
          </w:p>
        </w:tc>
        <w:tc>
          <w:tcPr>
            <w:tcW w:w="0" w:type="auto"/>
            <w:hideMark/>
          </w:tcPr>
          <w:p w14:paraId="6B16942A" w14:textId="77777777" w:rsidR="00B060E4" w:rsidRPr="00B060E4" w:rsidRDefault="00B060E4" w:rsidP="00B060E4">
            <w:pPr>
              <w:jc w:val="center"/>
              <w:rPr>
                <w:rFonts w:ascii="Times New Roman" w:eastAsia="Times New Roman" w:hAnsi="Times New Roman" w:cs="Times New Roman"/>
                <w:b/>
                <w:bCs/>
                <w:kern w:val="0"/>
                <w14:ligatures w14:val="none"/>
              </w:rPr>
            </w:pPr>
            <w:r w:rsidRPr="00B060E4">
              <w:rPr>
                <w:rFonts w:ascii="Times New Roman" w:eastAsia="Times New Roman" w:hAnsi="Times New Roman" w:cs="Times New Roman"/>
                <w:b/>
                <w:bCs/>
                <w:kern w:val="0"/>
                <w14:ligatures w14:val="none"/>
              </w:rPr>
              <w:t>SD</w:t>
            </w:r>
          </w:p>
        </w:tc>
        <w:tc>
          <w:tcPr>
            <w:tcW w:w="0" w:type="auto"/>
            <w:hideMark/>
          </w:tcPr>
          <w:p w14:paraId="5C3EF4A2" w14:textId="77777777" w:rsidR="00B060E4" w:rsidRPr="00B060E4" w:rsidRDefault="00B060E4" w:rsidP="00B060E4">
            <w:pPr>
              <w:jc w:val="center"/>
              <w:rPr>
                <w:rFonts w:ascii="Times New Roman" w:eastAsia="Times New Roman" w:hAnsi="Times New Roman" w:cs="Times New Roman"/>
                <w:b/>
                <w:bCs/>
                <w:kern w:val="0"/>
                <w14:ligatures w14:val="none"/>
              </w:rPr>
            </w:pPr>
            <w:r w:rsidRPr="00B060E4">
              <w:rPr>
                <w:rFonts w:ascii="Times New Roman" w:eastAsia="Times New Roman" w:hAnsi="Times New Roman" w:cs="Times New Roman"/>
                <w:b/>
                <w:bCs/>
                <w:kern w:val="0"/>
                <w14:ligatures w14:val="none"/>
              </w:rPr>
              <w:t>95% CI</w:t>
            </w:r>
          </w:p>
        </w:tc>
        <w:tc>
          <w:tcPr>
            <w:tcW w:w="0" w:type="auto"/>
            <w:hideMark/>
          </w:tcPr>
          <w:p w14:paraId="763BE1E9" w14:textId="77777777" w:rsidR="00B060E4" w:rsidRPr="00B060E4" w:rsidRDefault="00B060E4" w:rsidP="00B060E4">
            <w:pPr>
              <w:jc w:val="center"/>
              <w:rPr>
                <w:rFonts w:ascii="Times New Roman" w:eastAsia="Times New Roman" w:hAnsi="Times New Roman" w:cs="Times New Roman"/>
                <w:b/>
                <w:bCs/>
                <w:kern w:val="0"/>
                <w14:ligatures w14:val="none"/>
              </w:rPr>
            </w:pPr>
            <w:r w:rsidRPr="00B060E4">
              <w:rPr>
                <w:rFonts w:ascii="Times New Roman" w:eastAsia="Times New Roman" w:hAnsi="Times New Roman" w:cs="Times New Roman"/>
                <w:b/>
                <w:bCs/>
                <w:kern w:val="0"/>
                <w14:ligatures w14:val="none"/>
              </w:rPr>
              <w:t>Effect size</w:t>
            </w:r>
          </w:p>
        </w:tc>
        <w:tc>
          <w:tcPr>
            <w:tcW w:w="0" w:type="auto"/>
            <w:hideMark/>
          </w:tcPr>
          <w:p w14:paraId="72569988" w14:textId="77777777" w:rsidR="00B060E4" w:rsidRPr="00B060E4" w:rsidRDefault="00B060E4" w:rsidP="00B060E4">
            <w:pPr>
              <w:jc w:val="center"/>
              <w:rPr>
                <w:rFonts w:ascii="Times New Roman" w:eastAsia="Times New Roman" w:hAnsi="Times New Roman" w:cs="Times New Roman"/>
                <w:b/>
                <w:bCs/>
                <w:kern w:val="0"/>
                <w14:ligatures w14:val="none"/>
              </w:rPr>
            </w:pPr>
            <w:r w:rsidRPr="00B060E4">
              <w:rPr>
                <w:rFonts w:ascii="Times New Roman" w:eastAsia="Times New Roman" w:hAnsi="Times New Roman" w:cs="Times New Roman"/>
                <w:b/>
                <w:bCs/>
                <w:kern w:val="0"/>
                <w14:ligatures w14:val="none"/>
              </w:rPr>
              <w:t>Approx. p value</w:t>
            </w:r>
          </w:p>
        </w:tc>
      </w:tr>
      <w:tr w:rsidR="00B060E4" w:rsidRPr="00B060E4" w14:paraId="6550FFE8" w14:textId="77777777" w:rsidTr="009E1462">
        <w:tc>
          <w:tcPr>
            <w:tcW w:w="0" w:type="auto"/>
            <w:hideMark/>
          </w:tcPr>
          <w:p w14:paraId="47278A36" w14:textId="77777777" w:rsidR="00B060E4" w:rsidRPr="00B060E4" w:rsidRDefault="00B060E4" w:rsidP="00B060E4">
            <w:pPr>
              <w:jc w:val="right"/>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1</w:t>
            </w:r>
          </w:p>
        </w:tc>
        <w:tc>
          <w:tcPr>
            <w:tcW w:w="0" w:type="auto"/>
            <w:hideMark/>
          </w:tcPr>
          <w:p w14:paraId="52EE140E"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Cavernous sinus involvement</w:t>
            </w:r>
          </w:p>
        </w:tc>
        <w:tc>
          <w:tcPr>
            <w:tcW w:w="0" w:type="auto"/>
            <w:hideMark/>
          </w:tcPr>
          <w:p w14:paraId="12844025"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0.039</w:t>
            </w:r>
          </w:p>
        </w:tc>
        <w:tc>
          <w:tcPr>
            <w:tcW w:w="0" w:type="auto"/>
            <w:hideMark/>
          </w:tcPr>
          <w:p w14:paraId="769D83DC"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0.010</w:t>
            </w:r>
          </w:p>
        </w:tc>
        <w:tc>
          <w:tcPr>
            <w:tcW w:w="0" w:type="auto"/>
            <w:hideMark/>
          </w:tcPr>
          <w:p w14:paraId="13D88683"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0.018–0.047</w:t>
            </w:r>
          </w:p>
        </w:tc>
        <w:tc>
          <w:tcPr>
            <w:tcW w:w="0" w:type="auto"/>
            <w:hideMark/>
          </w:tcPr>
          <w:p w14:paraId="74ACFF2B"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3.90</w:t>
            </w:r>
          </w:p>
        </w:tc>
        <w:tc>
          <w:tcPr>
            <w:tcW w:w="0" w:type="auto"/>
            <w:hideMark/>
          </w:tcPr>
          <w:p w14:paraId="2BC5FB93"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0.03</w:t>
            </w:r>
          </w:p>
        </w:tc>
      </w:tr>
      <w:tr w:rsidR="00B060E4" w:rsidRPr="00B060E4" w14:paraId="3C92DE79" w14:textId="77777777" w:rsidTr="009E1462">
        <w:tc>
          <w:tcPr>
            <w:tcW w:w="0" w:type="auto"/>
            <w:hideMark/>
          </w:tcPr>
          <w:p w14:paraId="6F764863" w14:textId="77777777" w:rsidR="00B060E4" w:rsidRPr="00B060E4" w:rsidRDefault="00B060E4" w:rsidP="00B060E4">
            <w:pPr>
              <w:jc w:val="right"/>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2</w:t>
            </w:r>
          </w:p>
        </w:tc>
        <w:tc>
          <w:tcPr>
            <w:tcW w:w="0" w:type="auto"/>
            <w:hideMark/>
          </w:tcPr>
          <w:p w14:paraId="27C3E764"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ICA encasement</w:t>
            </w:r>
          </w:p>
        </w:tc>
        <w:tc>
          <w:tcPr>
            <w:tcW w:w="0" w:type="auto"/>
            <w:hideMark/>
          </w:tcPr>
          <w:p w14:paraId="2190B0AF"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0.031</w:t>
            </w:r>
          </w:p>
        </w:tc>
        <w:tc>
          <w:tcPr>
            <w:tcW w:w="0" w:type="auto"/>
            <w:hideMark/>
          </w:tcPr>
          <w:p w14:paraId="46D6FCBF"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0.006</w:t>
            </w:r>
          </w:p>
        </w:tc>
        <w:tc>
          <w:tcPr>
            <w:tcW w:w="0" w:type="auto"/>
            <w:hideMark/>
          </w:tcPr>
          <w:p w14:paraId="40AAF6B1"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0.014–0.037</w:t>
            </w:r>
          </w:p>
        </w:tc>
        <w:tc>
          <w:tcPr>
            <w:tcW w:w="0" w:type="auto"/>
            <w:hideMark/>
          </w:tcPr>
          <w:p w14:paraId="79C6ACD4"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4.89</w:t>
            </w:r>
          </w:p>
        </w:tc>
        <w:tc>
          <w:tcPr>
            <w:tcW w:w="0" w:type="auto"/>
            <w:hideMark/>
          </w:tcPr>
          <w:p w14:paraId="55E13AA0"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&lt;0.001</w:t>
            </w:r>
          </w:p>
        </w:tc>
      </w:tr>
      <w:tr w:rsidR="00B060E4" w:rsidRPr="00B060E4" w14:paraId="500B08FB" w14:textId="77777777" w:rsidTr="009E1462">
        <w:tc>
          <w:tcPr>
            <w:tcW w:w="0" w:type="auto"/>
            <w:hideMark/>
          </w:tcPr>
          <w:p w14:paraId="696D9355" w14:textId="77777777" w:rsidR="00B060E4" w:rsidRPr="00B060E4" w:rsidRDefault="00B060E4" w:rsidP="00B060E4">
            <w:pPr>
              <w:jc w:val="right"/>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3</w:t>
            </w:r>
          </w:p>
        </w:tc>
        <w:tc>
          <w:tcPr>
            <w:tcW w:w="0" w:type="auto"/>
            <w:hideMark/>
          </w:tcPr>
          <w:p w14:paraId="2BBA19BE"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Midline shift</w:t>
            </w:r>
          </w:p>
        </w:tc>
        <w:tc>
          <w:tcPr>
            <w:tcW w:w="0" w:type="auto"/>
            <w:hideMark/>
          </w:tcPr>
          <w:p w14:paraId="1D7A5D26"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0.026</w:t>
            </w:r>
          </w:p>
        </w:tc>
        <w:tc>
          <w:tcPr>
            <w:tcW w:w="0" w:type="auto"/>
            <w:hideMark/>
          </w:tcPr>
          <w:p w14:paraId="7A544D73"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0.016</w:t>
            </w:r>
          </w:p>
        </w:tc>
        <w:tc>
          <w:tcPr>
            <w:tcW w:w="0" w:type="auto"/>
            <w:hideMark/>
          </w:tcPr>
          <w:p w14:paraId="0F2C1C08"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−0.004–0.045</w:t>
            </w:r>
          </w:p>
        </w:tc>
        <w:tc>
          <w:tcPr>
            <w:tcW w:w="0" w:type="auto"/>
            <w:hideMark/>
          </w:tcPr>
          <w:p w14:paraId="2A3C1DEC"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1.61</w:t>
            </w:r>
          </w:p>
        </w:tc>
        <w:tc>
          <w:tcPr>
            <w:tcW w:w="0" w:type="auto"/>
            <w:hideMark/>
          </w:tcPr>
          <w:p w14:paraId="5F54B75B"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0.10</w:t>
            </w:r>
          </w:p>
        </w:tc>
      </w:tr>
      <w:tr w:rsidR="00B060E4" w:rsidRPr="00B060E4" w14:paraId="003E626A" w14:textId="77777777" w:rsidTr="009E1462">
        <w:tc>
          <w:tcPr>
            <w:tcW w:w="0" w:type="auto"/>
            <w:hideMark/>
          </w:tcPr>
          <w:p w14:paraId="526466BD" w14:textId="77777777" w:rsidR="00B060E4" w:rsidRPr="00B060E4" w:rsidRDefault="00B060E4" w:rsidP="00B060E4">
            <w:pPr>
              <w:jc w:val="right"/>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4</w:t>
            </w:r>
          </w:p>
        </w:tc>
        <w:tc>
          <w:tcPr>
            <w:tcW w:w="0" w:type="auto"/>
            <w:hideMark/>
          </w:tcPr>
          <w:p w14:paraId="70C64D87"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Max axial tumor diameter (mm)</w:t>
            </w:r>
          </w:p>
        </w:tc>
        <w:tc>
          <w:tcPr>
            <w:tcW w:w="0" w:type="auto"/>
            <w:hideMark/>
          </w:tcPr>
          <w:p w14:paraId="02993154"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0.016</w:t>
            </w:r>
          </w:p>
        </w:tc>
        <w:tc>
          <w:tcPr>
            <w:tcW w:w="0" w:type="auto"/>
            <w:hideMark/>
          </w:tcPr>
          <w:p w14:paraId="4A060B9A"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0.024</w:t>
            </w:r>
          </w:p>
        </w:tc>
        <w:tc>
          <w:tcPr>
            <w:tcW w:w="0" w:type="auto"/>
            <w:hideMark/>
          </w:tcPr>
          <w:p w14:paraId="64F7F39A"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−0.050–0.037</w:t>
            </w:r>
          </w:p>
        </w:tc>
        <w:tc>
          <w:tcPr>
            <w:tcW w:w="0" w:type="auto"/>
            <w:hideMark/>
          </w:tcPr>
          <w:p w14:paraId="174957EE"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0.68</w:t>
            </w:r>
          </w:p>
        </w:tc>
        <w:tc>
          <w:tcPr>
            <w:tcW w:w="0" w:type="auto"/>
            <w:hideMark/>
          </w:tcPr>
          <w:p w14:paraId="73BEF809"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0.13</w:t>
            </w:r>
          </w:p>
        </w:tc>
      </w:tr>
      <w:tr w:rsidR="00B060E4" w:rsidRPr="00B060E4" w14:paraId="0AE0FA33" w14:textId="77777777" w:rsidTr="009E1462">
        <w:tc>
          <w:tcPr>
            <w:tcW w:w="0" w:type="auto"/>
            <w:hideMark/>
          </w:tcPr>
          <w:p w14:paraId="74523A9F" w14:textId="77777777" w:rsidR="00B060E4" w:rsidRPr="00B060E4" w:rsidRDefault="00B060E4" w:rsidP="00B060E4">
            <w:pPr>
              <w:jc w:val="right"/>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5</w:t>
            </w:r>
          </w:p>
        </w:tc>
        <w:tc>
          <w:tcPr>
            <w:tcW w:w="0" w:type="auto"/>
            <w:hideMark/>
          </w:tcPr>
          <w:p w14:paraId="119FD5DC"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Brainstem compression</w:t>
            </w:r>
          </w:p>
        </w:tc>
        <w:tc>
          <w:tcPr>
            <w:tcW w:w="0" w:type="auto"/>
            <w:hideMark/>
          </w:tcPr>
          <w:p w14:paraId="3BDC1098"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0.016</w:t>
            </w:r>
          </w:p>
        </w:tc>
        <w:tc>
          <w:tcPr>
            <w:tcW w:w="0" w:type="auto"/>
            <w:hideMark/>
          </w:tcPr>
          <w:p w14:paraId="04756F7D"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0.005</w:t>
            </w:r>
          </w:p>
        </w:tc>
        <w:tc>
          <w:tcPr>
            <w:tcW w:w="0" w:type="auto"/>
            <w:hideMark/>
          </w:tcPr>
          <w:p w14:paraId="2842C0D7"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−0.000–0.021</w:t>
            </w:r>
          </w:p>
        </w:tc>
        <w:tc>
          <w:tcPr>
            <w:tcW w:w="0" w:type="auto"/>
            <w:hideMark/>
          </w:tcPr>
          <w:p w14:paraId="23ECB4F3"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3.24</w:t>
            </w:r>
          </w:p>
        </w:tc>
        <w:tc>
          <w:tcPr>
            <w:tcW w:w="0" w:type="auto"/>
            <w:hideMark/>
          </w:tcPr>
          <w:p w14:paraId="4AE694A2"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0.07</w:t>
            </w:r>
          </w:p>
        </w:tc>
      </w:tr>
      <w:tr w:rsidR="00B060E4" w:rsidRPr="00B060E4" w14:paraId="3564F99C" w14:textId="77777777" w:rsidTr="009E1462">
        <w:tc>
          <w:tcPr>
            <w:tcW w:w="0" w:type="auto"/>
            <w:hideMark/>
          </w:tcPr>
          <w:p w14:paraId="73EB26DA" w14:textId="77777777" w:rsidR="00B060E4" w:rsidRPr="00B060E4" w:rsidRDefault="00B060E4" w:rsidP="00B060E4">
            <w:pPr>
              <w:jc w:val="right"/>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6</w:t>
            </w:r>
          </w:p>
        </w:tc>
        <w:tc>
          <w:tcPr>
            <w:tcW w:w="0" w:type="auto"/>
            <w:hideMark/>
          </w:tcPr>
          <w:p w14:paraId="1F3E7F78"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Tumor calcification</w:t>
            </w:r>
          </w:p>
        </w:tc>
        <w:tc>
          <w:tcPr>
            <w:tcW w:w="0" w:type="auto"/>
            <w:hideMark/>
          </w:tcPr>
          <w:p w14:paraId="3BACE540"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0.016</w:t>
            </w:r>
          </w:p>
        </w:tc>
        <w:tc>
          <w:tcPr>
            <w:tcW w:w="0" w:type="auto"/>
            <w:hideMark/>
          </w:tcPr>
          <w:p w14:paraId="72E3AD1A"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0.006</w:t>
            </w:r>
          </w:p>
        </w:tc>
        <w:tc>
          <w:tcPr>
            <w:tcW w:w="0" w:type="auto"/>
            <w:hideMark/>
          </w:tcPr>
          <w:p w14:paraId="2374AB05"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−0.001–0.025</w:t>
            </w:r>
          </w:p>
        </w:tc>
        <w:tc>
          <w:tcPr>
            <w:tcW w:w="0" w:type="auto"/>
            <w:hideMark/>
          </w:tcPr>
          <w:p w14:paraId="4DD199EF"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2.40</w:t>
            </w:r>
          </w:p>
        </w:tc>
        <w:tc>
          <w:tcPr>
            <w:tcW w:w="0" w:type="auto"/>
            <w:hideMark/>
          </w:tcPr>
          <w:p w14:paraId="7D0B4BB9"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0.10</w:t>
            </w:r>
          </w:p>
        </w:tc>
      </w:tr>
      <w:tr w:rsidR="00B060E4" w:rsidRPr="00B060E4" w14:paraId="1882A027" w14:textId="77777777" w:rsidTr="009E1462">
        <w:tc>
          <w:tcPr>
            <w:tcW w:w="0" w:type="auto"/>
            <w:hideMark/>
          </w:tcPr>
          <w:p w14:paraId="7DC8A3D2" w14:textId="77777777" w:rsidR="00B060E4" w:rsidRPr="00B060E4" w:rsidRDefault="00B060E4" w:rsidP="00B060E4">
            <w:pPr>
              <w:jc w:val="right"/>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7</w:t>
            </w:r>
          </w:p>
        </w:tc>
        <w:tc>
          <w:tcPr>
            <w:tcW w:w="0" w:type="auto"/>
            <w:hideMark/>
          </w:tcPr>
          <w:p w14:paraId="15419A70"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Visual deficits</w:t>
            </w:r>
          </w:p>
        </w:tc>
        <w:tc>
          <w:tcPr>
            <w:tcW w:w="0" w:type="auto"/>
            <w:hideMark/>
          </w:tcPr>
          <w:p w14:paraId="10CE8ACA"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0.012</w:t>
            </w:r>
          </w:p>
        </w:tc>
        <w:tc>
          <w:tcPr>
            <w:tcW w:w="0" w:type="auto"/>
            <w:hideMark/>
          </w:tcPr>
          <w:p w14:paraId="5EAF2187"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0.007</w:t>
            </w:r>
          </w:p>
        </w:tc>
        <w:tc>
          <w:tcPr>
            <w:tcW w:w="0" w:type="auto"/>
            <w:hideMark/>
          </w:tcPr>
          <w:p w14:paraId="7FA61015"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−0.003–0.017</w:t>
            </w:r>
          </w:p>
        </w:tc>
        <w:tc>
          <w:tcPr>
            <w:tcW w:w="0" w:type="auto"/>
            <w:hideMark/>
          </w:tcPr>
          <w:p w14:paraId="20C3DFE1"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1.66</w:t>
            </w:r>
          </w:p>
        </w:tc>
        <w:tc>
          <w:tcPr>
            <w:tcW w:w="0" w:type="auto"/>
            <w:hideMark/>
          </w:tcPr>
          <w:p w14:paraId="157083F2" w14:textId="77777777" w:rsidR="00B060E4" w:rsidRPr="00B060E4" w:rsidRDefault="00B060E4" w:rsidP="00B060E4">
            <w:pPr>
              <w:rPr>
                <w:rFonts w:ascii="Times New Roman" w:eastAsia="Times New Roman" w:hAnsi="Times New Roman" w:cs="Times New Roman"/>
                <w:kern w:val="0"/>
                <w14:ligatures w14:val="none"/>
              </w:rPr>
            </w:pPr>
            <w:r w:rsidRPr="00B060E4">
              <w:rPr>
                <w:rFonts w:ascii="Times New Roman" w:eastAsia="Times New Roman" w:hAnsi="Times New Roman" w:cs="Times New Roman"/>
                <w:kern w:val="0"/>
                <w14:ligatures w14:val="none"/>
              </w:rPr>
              <w:t>0.20</w:t>
            </w:r>
          </w:p>
        </w:tc>
      </w:tr>
    </w:tbl>
    <w:p w14:paraId="08D5AB40" w14:textId="77777777" w:rsidR="00B060E4" w:rsidRDefault="00B060E4" w:rsidP="004943F5"/>
    <w:p w14:paraId="6AA75455" w14:textId="39BAE28C" w:rsidR="00D266AD" w:rsidRPr="00D266AD" w:rsidRDefault="00D266AD" w:rsidP="00D266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6AD">
        <w:rPr>
          <w:rFonts w:ascii="Times New Roman" w:eastAsia="Times New Roman" w:hAnsi="Times New Roman" w:cs="Times New Roman"/>
          <w:b/>
          <w:bCs/>
          <w:kern w:val="0"/>
          <w:sz w:val="27"/>
          <w:szCs w:val="27"/>
          <w14:ligatures w14:val="none"/>
        </w:rPr>
        <w:t xml:space="preserve">Table </w:t>
      </w:r>
      <w:r w:rsidR="00B060E4">
        <w:rPr>
          <w:rFonts w:ascii="Times New Roman" w:eastAsia="Times New Roman" w:hAnsi="Times New Roman" w:cs="Times New Roman"/>
          <w:b/>
          <w:bCs/>
          <w:kern w:val="0"/>
          <w:sz w:val="27"/>
          <w:szCs w:val="27"/>
          <w14:ligatures w14:val="none"/>
        </w:rPr>
        <w:t>A</w:t>
      </w:r>
      <w:r w:rsidRPr="00D266AD">
        <w:rPr>
          <w:rFonts w:ascii="Times New Roman" w:eastAsia="Times New Roman" w:hAnsi="Times New Roman" w:cs="Times New Roman"/>
          <w:b/>
          <w:bCs/>
          <w:kern w:val="0"/>
          <w:sz w:val="27"/>
          <w:szCs w:val="27"/>
          <w14:ligatures w14:val="none"/>
        </w:rPr>
        <w:t>. Permutation importance of preoperative variables across postoperative outcomes</w:t>
      </w:r>
    </w:p>
    <w:tbl>
      <w:tblPr>
        <w:tblStyle w:val="TableGridLight"/>
        <w:tblW w:w="0" w:type="auto"/>
        <w:tblLook w:val="04A0" w:firstRow="1" w:lastRow="0" w:firstColumn="1" w:lastColumn="0" w:noHBand="0" w:noVBand="1"/>
      </w:tblPr>
      <w:tblGrid>
        <w:gridCol w:w="2196"/>
        <w:gridCol w:w="2187"/>
        <w:gridCol w:w="2234"/>
        <w:gridCol w:w="2733"/>
      </w:tblGrid>
      <w:tr w:rsidR="00D266AD" w:rsidRPr="00D266AD" w14:paraId="157CBAEE" w14:textId="77777777" w:rsidTr="00D266AD">
        <w:tc>
          <w:tcPr>
            <w:tcW w:w="0" w:type="auto"/>
            <w:hideMark/>
          </w:tcPr>
          <w:p w14:paraId="53C48E48" w14:textId="77777777" w:rsidR="00D266AD" w:rsidRPr="00D266AD" w:rsidRDefault="00D266AD" w:rsidP="00D266AD">
            <w:pPr>
              <w:jc w:val="center"/>
              <w:rPr>
                <w:rFonts w:ascii="Times New Roman" w:eastAsia="Times New Roman" w:hAnsi="Times New Roman" w:cs="Times New Roman"/>
                <w:kern w:val="0"/>
                <w14:ligatures w14:val="none"/>
              </w:rPr>
            </w:pPr>
            <w:r w:rsidRPr="00D266AD">
              <w:rPr>
                <w:rFonts w:ascii="Times New Roman" w:eastAsia="Times New Roman" w:hAnsi="Times New Roman" w:cs="Times New Roman"/>
                <w:kern w:val="0"/>
                <w14:ligatures w14:val="none"/>
              </w:rPr>
              <w:t>Preoperative variable</w:t>
            </w:r>
          </w:p>
        </w:tc>
        <w:tc>
          <w:tcPr>
            <w:tcW w:w="0" w:type="auto"/>
            <w:hideMark/>
          </w:tcPr>
          <w:p w14:paraId="3693539F" w14:textId="4C944C0F" w:rsidR="00D266AD" w:rsidRPr="00D266AD" w:rsidRDefault="00D266AD" w:rsidP="00D266AD">
            <w:pPr>
              <w:jc w:val="center"/>
              <w:rPr>
                <w:rFonts w:ascii="Times New Roman" w:eastAsia="Times New Roman" w:hAnsi="Times New Roman" w:cs="Times New Roman"/>
                <w:kern w:val="0"/>
                <w14:ligatures w14:val="none"/>
              </w:rPr>
            </w:pPr>
            <w:r w:rsidRPr="00D266AD">
              <w:rPr>
                <w:rFonts w:ascii="Times New Roman" w:eastAsia="Times New Roman" w:hAnsi="Times New Roman" w:cs="Times New Roman"/>
                <w:kern w:val="0"/>
                <w14:ligatures w14:val="none"/>
              </w:rPr>
              <w:t>KPS worsening at discharge</w:t>
            </w:r>
            <w:r>
              <w:rPr>
                <w:rFonts w:ascii="Times New Roman" w:eastAsia="Times New Roman" w:hAnsi="Times New Roman" w:cs="Times New Roman"/>
                <w:kern w:val="0"/>
                <w14:ligatures w14:val="none"/>
              </w:rPr>
              <w:t xml:space="preserve"> </w:t>
            </w:r>
            <w:r w:rsidRPr="00D266AD">
              <w:rPr>
                <w:rFonts w:ascii="Times New Roman" w:eastAsia="Times New Roman" w:hAnsi="Times New Roman" w:cs="Times New Roman"/>
                <w:kern w:val="0"/>
                <w14:ligatures w14:val="none"/>
              </w:rPr>
              <w:t>Mean importance (95% CI)</w:t>
            </w:r>
          </w:p>
        </w:tc>
        <w:tc>
          <w:tcPr>
            <w:tcW w:w="0" w:type="auto"/>
            <w:hideMark/>
          </w:tcPr>
          <w:p w14:paraId="4CFBD114" w14:textId="60E50240" w:rsidR="00D266AD" w:rsidRPr="00D266AD" w:rsidRDefault="00D266AD" w:rsidP="00D266AD">
            <w:pPr>
              <w:jc w:val="center"/>
              <w:rPr>
                <w:rFonts w:ascii="Times New Roman" w:eastAsia="Times New Roman" w:hAnsi="Times New Roman" w:cs="Times New Roman"/>
                <w:kern w:val="0"/>
                <w14:ligatures w14:val="none"/>
              </w:rPr>
            </w:pPr>
            <w:r w:rsidRPr="00D266AD">
              <w:rPr>
                <w:rFonts w:ascii="Times New Roman" w:eastAsia="Times New Roman" w:hAnsi="Times New Roman" w:cs="Times New Roman"/>
                <w:kern w:val="0"/>
                <w14:ligatures w14:val="none"/>
              </w:rPr>
              <w:t>New neurological deficits</w:t>
            </w:r>
            <w:r>
              <w:rPr>
                <w:rFonts w:ascii="Times New Roman" w:eastAsia="Times New Roman" w:hAnsi="Times New Roman" w:cs="Times New Roman"/>
                <w:kern w:val="0"/>
                <w14:ligatures w14:val="none"/>
              </w:rPr>
              <w:t xml:space="preserve"> </w:t>
            </w:r>
            <w:r w:rsidRPr="00D266AD">
              <w:rPr>
                <w:rFonts w:ascii="Times New Roman" w:eastAsia="Times New Roman" w:hAnsi="Times New Roman" w:cs="Times New Roman"/>
                <w:kern w:val="0"/>
                <w14:ligatures w14:val="none"/>
              </w:rPr>
              <w:t>Mean importance (95% CI)</w:t>
            </w:r>
          </w:p>
        </w:tc>
        <w:tc>
          <w:tcPr>
            <w:tcW w:w="0" w:type="auto"/>
            <w:hideMark/>
          </w:tcPr>
          <w:p w14:paraId="7390CFB1" w14:textId="7036AA1F" w:rsidR="00D266AD" w:rsidRPr="00D266AD" w:rsidRDefault="00D266AD" w:rsidP="00D266AD">
            <w:pPr>
              <w:jc w:val="center"/>
              <w:rPr>
                <w:rFonts w:ascii="Times New Roman" w:eastAsia="Times New Roman" w:hAnsi="Times New Roman" w:cs="Times New Roman"/>
                <w:kern w:val="0"/>
                <w14:ligatures w14:val="none"/>
              </w:rPr>
            </w:pPr>
            <w:r w:rsidRPr="00D266AD">
              <w:rPr>
                <w:rFonts w:ascii="Times New Roman" w:eastAsia="Times New Roman" w:hAnsi="Times New Roman" w:cs="Times New Roman"/>
                <w:kern w:val="0"/>
                <w14:ligatures w14:val="none"/>
              </w:rPr>
              <w:t>Severe complications (Landriel–Ibáñez ≥ III)</w:t>
            </w:r>
            <w:r>
              <w:rPr>
                <w:rFonts w:ascii="Times New Roman" w:eastAsia="Times New Roman" w:hAnsi="Times New Roman" w:cs="Times New Roman"/>
                <w:kern w:val="0"/>
                <w14:ligatures w14:val="none"/>
              </w:rPr>
              <w:t xml:space="preserve"> </w:t>
            </w:r>
            <w:r w:rsidRPr="00D266AD">
              <w:rPr>
                <w:rFonts w:ascii="Times New Roman" w:eastAsia="Times New Roman" w:hAnsi="Times New Roman" w:cs="Times New Roman"/>
                <w:kern w:val="0"/>
                <w14:ligatures w14:val="none"/>
              </w:rPr>
              <w:t>Mean importance (95% CI)</w:t>
            </w:r>
          </w:p>
        </w:tc>
      </w:tr>
      <w:tr w:rsidR="00D266AD" w:rsidRPr="00D266AD" w14:paraId="105364A8" w14:textId="77777777" w:rsidTr="00D266AD">
        <w:tc>
          <w:tcPr>
            <w:tcW w:w="0" w:type="auto"/>
            <w:hideMark/>
          </w:tcPr>
          <w:p w14:paraId="6D1BF913" w14:textId="77777777" w:rsidR="00D266AD" w:rsidRPr="00D266AD" w:rsidRDefault="00D266AD" w:rsidP="00D266AD">
            <w:pPr>
              <w:rPr>
                <w:rFonts w:ascii="Times New Roman" w:eastAsia="Times New Roman" w:hAnsi="Times New Roman" w:cs="Times New Roman"/>
                <w:kern w:val="0"/>
                <w14:ligatures w14:val="none"/>
              </w:rPr>
            </w:pPr>
            <w:r w:rsidRPr="00D266AD">
              <w:rPr>
                <w:rFonts w:ascii="Times New Roman" w:eastAsia="Times New Roman" w:hAnsi="Times New Roman" w:cs="Times New Roman"/>
                <w:kern w:val="0"/>
                <w14:ligatures w14:val="none"/>
              </w:rPr>
              <w:t>Brainstem compression</w:t>
            </w:r>
          </w:p>
        </w:tc>
        <w:tc>
          <w:tcPr>
            <w:tcW w:w="0" w:type="auto"/>
            <w:hideMark/>
          </w:tcPr>
          <w:p w14:paraId="652F4C14" w14:textId="77777777" w:rsidR="00D266AD" w:rsidRPr="00D266AD" w:rsidRDefault="00D266AD" w:rsidP="00D266AD">
            <w:pPr>
              <w:rPr>
                <w:rFonts w:ascii="Times New Roman" w:eastAsia="Times New Roman" w:hAnsi="Times New Roman" w:cs="Times New Roman"/>
                <w:kern w:val="0"/>
                <w14:ligatures w14:val="none"/>
              </w:rPr>
            </w:pPr>
            <w:r w:rsidRPr="00D266AD">
              <w:rPr>
                <w:rFonts w:ascii="Times New Roman" w:eastAsia="Times New Roman" w:hAnsi="Times New Roman" w:cs="Times New Roman"/>
                <w:kern w:val="0"/>
                <w14:ligatures w14:val="none"/>
              </w:rPr>
              <w:t>0.103 (0.052–0.147)</w:t>
            </w:r>
          </w:p>
        </w:tc>
        <w:tc>
          <w:tcPr>
            <w:tcW w:w="0" w:type="auto"/>
            <w:hideMark/>
          </w:tcPr>
          <w:p w14:paraId="628696F8" w14:textId="77777777" w:rsidR="00D266AD" w:rsidRPr="00D266AD" w:rsidRDefault="00D266AD" w:rsidP="00D266AD">
            <w:pPr>
              <w:rPr>
                <w:rFonts w:ascii="Times New Roman" w:eastAsia="Times New Roman" w:hAnsi="Times New Roman" w:cs="Times New Roman"/>
                <w:kern w:val="0"/>
                <w14:ligatures w14:val="none"/>
              </w:rPr>
            </w:pPr>
            <w:r w:rsidRPr="00D266AD">
              <w:rPr>
                <w:rFonts w:ascii="Times New Roman" w:eastAsia="Times New Roman" w:hAnsi="Times New Roman" w:cs="Times New Roman"/>
                <w:kern w:val="0"/>
                <w14:ligatures w14:val="none"/>
              </w:rPr>
              <w:t>0.037 (0.023–0.054)</w:t>
            </w:r>
          </w:p>
        </w:tc>
        <w:tc>
          <w:tcPr>
            <w:tcW w:w="0" w:type="auto"/>
            <w:hideMark/>
          </w:tcPr>
          <w:p w14:paraId="605AA406" w14:textId="77777777" w:rsidR="00D266AD" w:rsidRPr="00D266AD" w:rsidRDefault="00D266AD" w:rsidP="00D266AD">
            <w:pPr>
              <w:rPr>
                <w:rFonts w:ascii="Times New Roman" w:eastAsia="Times New Roman" w:hAnsi="Times New Roman" w:cs="Times New Roman"/>
                <w:kern w:val="0"/>
                <w14:ligatures w14:val="none"/>
              </w:rPr>
            </w:pPr>
            <w:r w:rsidRPr="00D266AD">
              <w:rPr>
                <w:rFonts w:ascii="Times New Roman" w:eastAsia="Times New Roman" w:hAnsi="Times New Roman" w:cs="Times New Roman"/>
                <w:kern w:val="0"/>
                <w14:ligatures w14:val="none"/>
              </w:rPr>
              <w:t>0.016 (−0.000–0.021)</w:t>
            </w:r>
          </w:p>
        </w:tc>
      </w:tr>
      <w:tr w:rsidR="00D266AD" w:rsidRPr="00D266AD" w14:paraId="55486EDD" w14:textId="77777777" w:rsidTr="00D266AD">
        <w:tc>
          <w:tcPr>
            <w:tcW w:w="0" w:type="auto"/>
            <w:hideMark/>
          </w:tcPr>
          <w:p w14:paraId="6A4938C7" w14:textId="77777777" w:rsidR="00D266AD" w:rsidRPr="00D266AD" w:rsidRDefault="00D266AD" w:rsidP="00D266AD">
            <w:pPr>
              <w:rPr>
                <w:rFonts w:ascii="Times New Roman" w:eastAsia="Times New Roman" w:hAnsi="Times New Roman" w:cs="Times New Roman"/>
                <w:kern w:val="0"/>
                <w14:ligatures w14:val="none"/>
              </w:rPr>
            </w:pPr>
            <w:r w:rsidRPr="00D266AD">
              <w:rPr>
                <w:rFonts w:ascii="Times New Roman" w:eastAsia="Times New Roman" w:hAnsi="Times New Roman" w:cs="Times New Roman"/>
                <w:kern w:val="0"/>
                <w14:ligatures w14:val="none"/>
              </w:rPr>
              <w:t>Obesity</w:t>
            </w:r>
          </w:p>
        </w:tc>
        <w:tc>
          <w:tcPr>
            <w:tcW w:w="0" w:type="auto"/>
            <w:hideMark/>
          </w:tcPr>
          <w:p w14:paraId="16140988" w14:textId="77777777" w:rsidR="00D266AD" w:rsidRPr="00D266AD" w:rsidRDefault="00D266AD" w:rsidP="00D266AD">
            <w:pPr>
              <w:rPr>
                <w:rFonts w:ascii="Times New Roman" w:eastAsia="Times New Roman" w:hAnsi="Times New Roman" w:cs="Times New Roman"/>
                <w:kern w:val="0"/>
                <w14:ligatures w14:val="none"/>
              </w:rPr>
            </w:pPr>
            <w:r w:rsidRPr="00D266AD">
              <w:rPr>
                <w:rFonts w:ascii="Times New Roman" w:eastAsia="Times New Roman" w:hAnsi="Times New Roman" w:cs="Times New Roman"/>
                <w:kern w:val="0"/>
                <w14:ligatures w14:val="none"/>
              </w:rPr>
              <w:t>0.027 (0.007–0.036)</w:t>
            </w:r>
          </w:p>
        </w:tc>
        <w:tc>
          <w:tcPr>
            <w:tcW w:w="0" w:type="auto"/>
            <w:hideMark/>
          </w:tcPr>
          <w:p w14:paraId="19BE54B7" w14:textId="77777777" w:rsidR="00D266AD" w:rsidRPr="00D266AD" w:rsidRDefault="00D266AD" w:rsidP="00D266AD">
            <w:pPr>
              <w:rPr>
                <w:rFonts w:ascii="Times New Roman" w:eastAsia="Times New Roman" w:hAnsi="Times New Roman" w:cs="Times New Roman"/>
                <w:kern w:val="0"/>
                <w14:ligatures w14:val="none"/>
              </w:rPr>
            </w:pPr>
            <w:r w:rsidRPr="00D266AD">
              <w:rPr>
                <w:rFonts w:ascii="Times New Roman" w:eastAsia="Times New Roman" w:hAnsi="Times New Roman" w:cs="Times New Roman"/>
                <w:kern w:val="0"/>
                <w14:ligatures w14:val="none"/>
              </w:rPr>
              <w:t>—</w:t>
            </w:r>
          </w:p>
        </w:tc>
        <w:tc>
          <w:tcPr>
            <w:tcW w:w="0" w:type="auto"/>
            <w:hideMark/>
          </w:tcPr>
          <w:p w14:paraId="35C4ADB3" w14:textId="77777777" w:rsidR="00D266AD" w:rsidRPr="00D266AD" w:rsidRDefault="00D266AD" w:rsidP="00D266AD">
            <w:pPr>
              <w:rPr>
                <w:rFonts w:ascii="Times New Roman" w:eastAsia="Times New Roman" w:hAnsi="Times New Roman" w:cs="Times New Roman"/>
                <w:kern w:val="0"/>
                <w14:ligatures w14:val="none"/>
              </w:rPr>
            </w:pPr>
            <w:r w:rsidRPr="00D266AD">
              <w:rPr>
                <w:rFonts w:ascii="Times New Roman" w:eastAsia="Times New Roman" w:hAnsi="Times New Roman" w:cs="Times New Roman"/>
                <w:kern w:val="0"/>
                <w14:ligatures w14:val="none"/>
              </w:rPr>
              <w:t>—</w:t>
            </w:r>
          </w:p>
        </w:tc>
      </w:tr>
      <w:tr w:rsidR="00D266AD" w:rsidRPr="00D266AD" w14:paraId="1C10AF41" w14:textId="77777777" w:rsidTr="00D266AD">
        <w:tc>
          <w:tcPr>
            <w:tcW w:w="0" w:type="auto"/>
            <w:hideMark/>
          </w:tcPr>
          <w:p w14:paraId="56D1EF06" w14:textId="77777777" w:rsidR="00D266AD" w:rsidRPr="00D266AD" w:rsidRDefault="00D266AD" w:rsidP="00D266AD">
            <w:pPr>
              <w:rPr>
                <w:rFonts w:ascii="Times New Roman" w:eastAsia="Times New Roman" w:hAnsi="Times New Roman" w:cs="Times New Roman"/>
                <w:kern w:val="0"/>
                <w14:ligatures w14:val="none"/>
              </w:rPr>
            </w:pPr>
            <w:r w:rsidRPr="00D266AD">
              <w:rPr>
                <w:rFonts w:ascii="Times New Roman" w:eastAsia="Times New Roman" w:hAnsi="Times New Roman" w:cs="Times New Roman"/>
                <w:kern w:val="0"/>
                <w14:ligatures w14:val="none"/>
              </w:rPr>
              <w:t>Radio-cystic necrosis</w:t>
            </w:r>
          </w:p>
        </w:tc>
        <w:tc>
          <w:tcPr>
            <w:tcW w:w="0" w:type="auto"/>
            <w:hideMark/>
          </w:tcPr>
          <w:p w14:paraId="4ECB91BF" w14:textId="77777777" w:rsidR="00D266AD" w:rsidRPr="00D266AD" w:rsidRDefault="00D266AD" w:rsidP="00D266AD">
            <w:pPr>
              <w:rPr>
                <w:rFonts w:ascii="Times New Roman" w:eastAsia="Times New Roman" w:hAnsi="Times New Roman" w:cs="Times New Roman"/>
                <w:kern w:val="0"/>
                <w14:ligatures w14:val="none"/>
              </w:rPr>
            </w:pPr>
            <w:r w:rsidRPr="00D266AD">
              <w:rPr>
                <w:rFonts w:ascii="Times New Roman" w:eastAsia="Times New Roman" w:hAnsi="Times New Roman" w:cs="Times New Roman"/>
                <w:kern w:val="0"/>
                <w14:ligatures w14:val="none"/>
              </w:rPr>
              <w:t>0.013 (−0.009–0.031)</w:t>
            </w:r>
          </w:p>
        </w:tc>
        <w:tc>
          <w:tcPr>
            <w:tcW w:w="0" w:type="auto"/>
            <w:hideMark/>
          </w:tcPr>
          <w:p w14:paraId="72A31AAF" w14:textId="77777777" w:rsidR="00D266AD" w:rsidRPr="00D266AD" w:rsidRDefault="00D266AD" w:rsidP="00D266AD">
            <w:pPr>
              <w:rPr>
                <w:rFonts w:ascii="Times New Roman" w:eastAsia="Times New Roman" w:hAnsi="Times New Roman" w:cs="Times New Roman"/>
                <w:kern w:val="0"/>
                <w14:ligatures w14:val="none"/>
              </w:rPr>
            </w:pPr>
            <w:r w:rsidRPr="00D266AD">
              <w:rPr>
                <w:rFonts w:ascii="Times New Roman" w:eastAsia="Times New Roman" w:hAnsi="Times New Roman" w:cs="Times New Roman"/>
                <w:kern w:val="0"/>
                <w14:ligatures w14:val="none"/>
              </w:rPr>
              <w:t>—</w:t>
            </w:r>
          </w:p>
        </w:tc>
        <w:tc>
          <w:tcPr>
            <w:tcW w:w="0" w:type="auto"/>
            <w:hideMark/>
          </w:tcPr>
          <w:p w14:paraId="7643A4A8" w14:textId="77777777" w:rsidR="00D266AD" w:rsidRPr="00D266AD" w:rsidRDefault="00D266AD" w:rsidP="00D266AD">
            <w:pPr>
              <w:rPr>
                <w:rFonts w:ascii="Times New Roman" w:eastAsia="Times New Roman" w:hAnsi="Times New Roman" w:cs="Times New Roman"/>
                <w:kern w:val="0"/>
                <w14:ligatures w14:val="none"/>
              </w:rPr>
            </w:pPr>
            <w:r w:rsidRPr="00D266AD">
              <w:rPr>
                <w:rFonts w:ascii="Times New Roman" w:eastAsia="Times New Roman" w:hAnsi="Times New Roman" w:cs="Times New Roman"/>
                <w:kern w:val="0"/>
                <w14:ligatures w14:val="none"/>
              </w:rPr>
              <w:t>—</w:t>
            </w:r>
          </w:p>
        </w:tc>
      </w:tr>
      <w:tr w:rsidR="00D266AD" w:rsidRPr="00D266AD" w14:paraId="60510760" w14:textId="77777777" w:rsidTr="00D266AD">
        <w:tc>
          <w:tcPr>
            <w:tcW w:w="0" w:type="auto"/>
            <w:hideMark/>
          </w:tcPr>
          <w:p w14:paraId="47200B95" w14:textId="77777777" w:rsidR="00D266AD" w:rsidRPr="00D266AD" w:rsidRDefault="00D266AD" w:rsidP="00D266AD">
            <w:pPr>
              <w:rPr>
                <w:rFonts w:ascii="Times New Roman" w:eastAsia="Times New Roman" w:hAnsi="Times New Roman" w:cs="Times New Roman"/>
                <w:kern w:val="0"/>
                <w14:ligatures w14:val="none"/>
              </w:rPr>
            </w:pPr>
            <w:r w:rsidRPr="00D266AD">
              <w:rPr>
                <w:rFonts w:ascii="Times New Roman" w:eastAsia="Times New Roman" w:hAnsi="Times New Roman" w:cs="Times New Roman"/>
                <w:kern w:val="0"/>
                <w14:ligatures w14:val="none"/>
              </w:rPr>
              <w:t>Preoperative KPS</w:t>
            </w:r>
          </w:p>
        </w:tc>
        <w:tc>
          <w:tcPr>
            <w:tcW w:w="0" w:type="auto"/>
            <w:hideMark/>
          </w:tcPr>
          <w:p w14:paraId="33692B19" w14:textId="77777777" w:rsidR="00D266AD" w:rsidRPr="00D266AD" w:rsidRDefault="00D266AD" w:rsidP="00D266AD">
            <w:pPr>
              <w:rPr>
                <w:rFonts w:ascii="Times New Roman" w:eastAsia="Times New Roman" w:hAnsi="Times New Roman" w:cs="Times New Roman"/>
                <w:kern w:val="0"/>
                <w14:ligatures w14:val="none"/>
              </w:rPr>
            </w:pPr>
            <w:r w:rsidRPr="00D266AD">
              <w:rPr>
                <w:rFonts w:ascii="Times New Roman" w:eastAsia="Times New Roman" w:hAnsi="Times New Roman" w:cs="Times New Roman"/>
                <w:kern w:val="0"/>
                <w14:ligatures w14:val="none"/>
              </w:rPr>
              <w:t>—</w:t>
            </w:r>
          </w:p>
        </w:tc>
        <w:tc>
          <w:tcPr>
            <w:tcW w:w="0" w:type="auto"/>
            <w:hideMark/>
          </w:tcPr>
          <w:p w14:paraId="64A71AFF" w14:textId="77777777" w:rsidR="00D266AD" w:rsidRPr="00D266AD" w:rsidRDefault="00D266AD" w:rsidP="00D266AD">
            <w:pPr>
              <w:rPr>
                <w:rFonts w:ascii="Times New Roman" w:eastAsia="Times New Roman" w:hAnsi="Times New Roman" w:cs="Times New Roman"/>
                <w:kern w:val="0"/>
                <w14:ligatures w14:val="none"/>
              </w:rPr>
            </w:pPr>
            <w:r w:rsidRPr="00D266AD">
              <w:rPr>
                <w:rFonts w:ascii="Times New Roman" w:eastAsia="Times New Roman" w:hAnsi="Times New Roman" w:cs="Times New Roman"/>
                <w:kern w:val="0"/>
                <w14:ligatures w14:val="none"/>
              </w:rPr>
              <w:t>0.058 (0.010–0.121)</w:t>
            </w:r>
          </w:p>
        </w:tc>
        <w:tc>
          <w:tcPr>
            <w:tcW w:w="0" w:type="auto"/>
            <w:hideMark/>
          </w:tcPr>
          <w:p w14:paraId="79C39C53" w14:textId="77777777" w:rsidR="00D266AD" w:rsidRPr="00D266AD" w:rsidRDefault="00D266AD" w:rsidP="00D266AD">
            <w:pPr>
              <w:rPr>
                <w:rFonts w:ascii="Times New Roman" w:eastAsia="Times New Roman" w:hAnsi="Times New Roman" w:cs="Times New Roman"/>
                <w:kern w:val="0"/>
                <w14:ligatures w14:val="none"/>
              </w:rPr>
            </w:pPr>
            <w:r w:rsidRPr="00D266AD">
              <w:rPr>
                <w:rFonts w:ascii="Times New Roman" w:eastAsia="Times New Roman" w:hAnsi="Times New Roman" w:cs="Times New Roman"/>
                <w:kern w:val="0"/>
                <w14:ligatures w14:val="none"/>
              </w:rPr>
              <w:t>—</w:t>
            </w:r>
          </w:p>
        </w:tc>
      </w:tr>
      <w:tr w:rsidR="00D266AD" w:rsidRPr="00D266AD" w14:paraId="50E7B2D1" w14:textId="77777777" w:rsidTr="00D266AD">
        <w:tc>
          <w:tcPr>
            <w:tcW w:w="0" w:type="auto"/>
            <w:hideMark/>
          </w:tcPr>
          <w:p w14:paraId="1F94C505" w14:textId="77777777" w:rsidR="00D266AD" w:rsidRPr="00D266AD" w:rsidRDefault="00D266AD" w:rsidP="00D266AD">
            <w:pPr>
              <w:rPr>
                <w:rFonts w:ascii="Times New Roman" w:eastAsia="Times New Roman" w:hAnsi="Times New Roman" w:cs="Times New Roman"/>
                <w:kern w:val="0"/>
                <w:lang w:val="it-IT"/>
                <w14:ligatures w14:val="none"/>
              </w:rPr>
            </w:pPr>
            <w:r w:rsidRPr="00D266AD">
              <w:rPr>
                <w:rFonts w:ascii="Times New Roman" w:eastAsia="Times New Roman" w:hAnsi="Times New Roman" w:cs="Times New Roman"/>
                <w:kern w:val="0"/>
                <w:lang w:val="it-IT"/>
                <w14:ligatures w14:val="none"/>
              </w:rPr>
              <w:t xml:space="preserve">CN III/IV/VI </w:t>
            </w:r>
            <w:proofErr w:type="spellStart"/>
            <w:r w:rsidRPr="00D266AD">
              <w:rPr>
                <w:rFonts w:ascii="Times New Roman" w:eastAsia="Times New Roman" w:hAnsi="Times New Roman" w:cs="Times New Roman"/>
                <w:kern w:val="0"/>
                <w:lang w:val="it-IT"/>
                <w14:ligatures w14:val="none"/>
              </w:rPr>
              <w:t>involvement</w:t>
            </w:r>
            <w:proofErr w:type="spellEnd"/>
          </w:p>
        </w:tc>
        <w:tc>
          <w:tcPr>
            <w:tcW w:w="0" w:type="auto"/>
            <w:hideMark/>
          </w:tcPr>
          <w:p w14:paraId="29570DCF" w14:textId="77777777" w:rsidR="00D266AD" w:rsidRPr="00D266AD" w:rsidRDefault="00D266AD" w:rsidP="00D266AD">
            <w:pPr>
              <w:rPr>
                <w:rFonts w:ascii="Times New Roman" w:eastAsia="Times New Roman" w:hAnsi="Times New Roman" w:cs="Times New Roman"/>
                <w:kern w:val="0"/>
                <w14:ligatures w14:val="none"/>
              </w:rPr>
            </w:pPr>
            <w:r w:rsidRPr="00D266AD">
              <w:rPr>
                <w:rFonts w:ascii="Times New Roman" w:eastAsia="Times New Roman" w:hAnsi="Times New Roman" w:cs="Times New Roman"/>
                <w:kern w:val="0"/>
                <w14:ligatures w14:val="none"/>
              </w:rPr>
              <w:t>—</w:t>
            </w:r>
          </w:p>
        </w:tc>
        <w:tc>
          <w:tcPr>
            <w:tcW w:w="0" w:type="auto"/>
            <w:hideMark/>
          </w:tcPr>
          <w:p w14:paraId="0BB9927F" w14:textId="77777777" w:rsidR="00D266AD" w:rsidRPr="00D266AD" w:rsidRDefault="00D266AD" w:rsidP="00D266AD">
            <w:pPr>
              <w:rPr>
                <w:rFonts w:ascii="Times New Roman" w:eastAsia="Times New Roman" w:hAnsi="Times New Roman" w:cs="Times New Roman"/>
                <w:kern w:val="0"/>
                <w14:ligatures w14:val="none"/>
              </w:rPr>
            </w:pPr>
            <w:r w:rsidRPr="00D266AD">
              <w:rPr>
                <w:rFonts w:ascii="Times New Roman" w:eastAsia="Times New Roman" w:hAnsi="Times New Roman" w:cs="Times New Roman"/>
                <w:kern w:val="0"/>
                <w14:ligatures w14:val="none"/>
              </w:rPr>
              <w:t>0.032 (0.007–0.062)</w:t>
            </w:r>
          </w:p>
        </w:tc>
        <w:tc>
          <w:tcPr>
            <w:tcW w:w="0" w:type="auto"/>
            <w:hideMark/>
          </w:tcPr>
          <w:p w14:paraId="6935D2DF" w14:textId="77777777" w:rsidR="00D266AD" w:rsidRPr="00D266AD" w:rsidRDefault="00D266AD" w:rsidP="00D266AD">
            <w:pPr>
              <w:rPr>
                <w:rFonts w:ascii="Times New Roman" w:eastAsia="Times New Roman" w:hAnsi="Times New Roman" w:cs="Times New Roman"/>
                <w:kern w:val="0"/>
                <w14:ligatures w14:val="none"/>
              </w:rPr>
            </w:pPr>
            <w:r w:rsidRPr="00D266AD">
              <w:rPr>
                <w:rFonts w:ascii="Times New Roman" w:eastAsia="Times New Roman" w:hAnsi="Times New Roman" w:cs="Times New Roman"/>
                <w:kern w:val="0"/>
                <w14:ligatures w14:val="none"/>
              </w:rPr>
              <w:t>—</w:t>
            </w:r>
          </w:p>
        </w:tc>
      </w:tr>
      <w:tr w:rsidR="00D266AD" w:rsidRPr="00D266AD" w14:paraId="028CBFFF" w14:textId="77777777" w:rsidTr="00D266AD">
        <w:tc>
          <w:tcPr>
            <w:tcW w:w="0" w:type="auto"/>
            <w:hideMark/>
          </w:tcPr>
          <w:p w14:paraId="63C3D4CA" w14:textId="77777777" w:rsidR="00D266AD" w:rsidRPr="00D266AD" w:rsidRDefault="00D266AD" w:rsidP="00D266AD">
            <w:pPr>
              <w:rPr>
                <w:rFonts w:ascii="Times New Roman" w:eastAsia="Times New Roman" w:hAnsi="Times New Roman" w:cs="Times New Roman"/>
                <w:kern w:val="0"/>
                <w14:ligatures w14:val="none"/>
              </w:rPr>
            </w:pPr>
            <w:r w:rsidRPr="00D266AD">
              <w:rPr>
                <w:rFonts w:ascii="Times New Roman" w:eastAsia="Times New Roman" w:hAnsi="Times New Roman" w:cs="Times New Roman"/>
                <w:kern w:val="0"/>
                <w14:ligatures w14:val="none"/>
              </w:rPr>
              <w:t>Max axial tumor diameter (mm)</w:t>
            </w:r>
          </w:p>
        </w:tc>
        <w:tc>
          <w:tcPr>
            <w:tcW w:w="0" w:type="auto"/>
            <w:hideMark/>
          </w:tcPr>
          <w:p w14:paraId="6AC7338E" w14:textId="77777777" w:rsidR="00D266AD" w:rsidRPr="00D266AD" w:rsidRDefault="00D266AD" w:rsidP="00D266AD">
            <w:pPr>
              <w:rPr>
                <w:rFonts w:ascii="Times New Roman" w:eastAsia="Times New Roman" w:hAnsi="Times New Roman" w:cs="Times New Roman"/>
                <w:kern w:val="0"/>
                <w14:ligatures w14:val="none"/>
              </w:rPr>
            </w:pPr>
            <w:r w:rsidRPr="00D266AD">
              <w:rPr>
                <w:rFonts w:ascii="Times New Roman" w:eastAsia="Times New Roman" w:hAnsi="Times New Roman" w:cs="Times New Roman"/>
                <w:kern w:val="0"/>
                <w14:ligatures w14:val="none"/>
              </w:rPr>
              <w:t>—</w:t>
            </w:r>
          </w:p>
        </w:tc>
        <w:tc>
          <w:tcPr>
            <w:tcW w:w="0" w:type="auto"/>
            <w:hideMark/>
          </w:tcPr>
          <w:p w14:paraId="7711B72F" w14:textId="77777777" w:rsidR="00D266AD" w:rsidRPr="00D266AD" w:rsidRDefault="00D266AD" w:rsidP="00D266AD">
            <w:pPr>
              <w:rPr>
                <w:rFonts w:ascii="Times New Roman" w:eastAsia="Times New Roman" w:hAnsi="Times New Roman" w:cs="Times New Roman"/>
                <w:kern w:val="0"/>
                <w14:ligatures w14:val="none"/>
              </w:rPr>
            </w:pPr>
            <w:r w:rsidRPr="00D266AD">
              <w:rPr>
                <w:rFonts w:ascii="Times New Roman" w:eastAsia="Times New Roman" w:hAnsi="Times New Roman" w:cs="Times New Roman"/>
                <w:kern w:val="0"/>
                <w14:ligatures w14:val="none"/>
              </w:rPr>
              <w:t>0.021 (0.001–0.036)</w:t>
            </w:r>
          </w:p>
        </w:tc>
        <w:tc>
          <w:tcPr>
            <w:tcW w:w="0" w:type="auto"/>
            <w:hideMark/>
          </w:tcPr>
          <w:p w14:paraId="7DAD75CA" w14:textId="77777777" w:rsidR="00D266AD" w:rsidRPr="00D266AD" w:rsidRDefault="00D266AD" w:rsidP="00D266AD">
            <w:pPr>
              <w:rPr>
                <w:rFonts w:ascii="Times New Roman" w:eastAsia="Times New Roman" w:hAnsi="Times New Roman" w:cs="Times New Roman"/>
                <w:kern w:val="0"/>
                <w14:ligatures w14:val="none"/>
              </w:rPr>
            </w:pPr>
            <w:r w:rsidRPr="00D266AD">
              <w:rPr>
                <w:rFonts w:ascii="Times New Roman" w:eastAsia="Times New Roman" w:hAnsi="Times New Roman" w:cs="Times New Roman"/>
                <w:kern w:val="0"/>
                <w14:ligatures w14:val="none"/>
              </w:rPr>
              <w:t>0.016 (−0.050–0.037)</w:t>
            </w:r>
          </w:p>
        </w:tc>
      </w:tr>
      <w:tr w:rsidR="00D266AD" w:rsidRPr="00D266AD" w14:paraId="1F213FE4" w14:textId="77777777" w:rsidTr="00D266AD">
        <w:tc>
          <w:tcPr>
            <w:tcW w:w="0" w:type="auto"/>
            <w:hideMark/>
          </w:tcPr>
          <w:p w14:paraId="6CAE459E" w14:textId="77777777" w:rsidR="00D266AD" w:rsidRPr="00D266AD" w:rsidRDefault="00D266AD" w:rsidP="00D266AD">
            <w:pPr>
              <w:rPr>
                <w:rFonts w:ascii="Times New Roman" w:eastAsia="Times New Roman" w:hAnsi="Times New Roman" w:cs="Times New Roman"/>
                <w:kern w:val="0"/>
                <w14:ligatures w14:val="none"/>
              </w:rPr>
            </w:pPr>
            <w:r w:rsidRPr="00D266AD">
              <w:rPr>
                <w:rFonts w:ascii="Times New Roman" w:eastAsia="Times New Roman" w:hAnsi="Times New Roman" w:cs="Times New Roman"/>
                <w:kern w:val="0"/>
                <w14:ligatures w14:val="none"/>
              </w:rPr>
              <w:t>Cardiorespiratory comorbidities</w:t>
            </w:r>
          </w:p>
        </w:tc>
        <w:tc>
          <w:tcPr>
            <w:tcW w:w="0" w:type="auto"/>
            <w:hideMark/>
          </w:tcPr>
          <w:p w14:paraId="74B1B024" w14:textId="77777777" w:rsidR="00D266AD" w:rsidRPr="00D266AD" w:rsidRDefault="00D266AD" w:rsidP="00D266AD">
            <w:pPr>
              <w:rPr>
                <w:rFonts w:ascii="Times New Roman" w:eastAsia="Times New Roman" w:hAnsi="Times New Roman" w:cs="Times New Roman"/>
                <w:kern w:val="0"/>
                <w14:ligatures w14:val="none"/>
              </w:rPr>
            </w:pPr>
            <w:r w:rsidRPr="00D266AD">
              <w:rPr>
                <w:rFonts w:ascii="Times New Roman" w:eastAsia="Times New Roman" w:hAnsi="Times New Roman" w:cs="Times New Roman"/>
                <w:kern w:val="0"/>
                <w14:ligatures w14:val="none"/>
              </w:rPr>
              <w:t>—</w:t>
            </w:r>
          </w:p>
        </w:tc>
        <w:tc>
          <w:tcPr>
            <w:tcW w:w="0" w:type="auto"/>
            <w:hideMark/>
          </w:tcPr>
          <w:p w14:paraId="5FBF3B81" w14:textId="77777777" w:rsidR="00D266AD" w:rsidRPr="00D266AD" w:rsidRDefault="00D266AD" w:rsidP="00D266AD">
            <w:pPr>
              <w:rPr>
                <w:rFonts w:ascii="Times New Roman" w:eastAsia="Times New Roman" w:hAnsi="Times New Roman" w:cs="Times New Roman"/>
                <w:kern w:val="0"/>
                <w14:ligatures w14:val="none"/>
              </w:rPr>
            </w:pPr>
            <w:r w:rsidRPr="00D266AD">
              <w:rPr>
                <w:rFonts w:ascii="Times New Roman" w:eastAsia="Times New Roman" w:hAnsi="Times New Roman" w:cs="Times New Roman"/>
                <w:kern w:val="0"/>
                <w14:ligatures w14:val="none"/>
              </w:rPr>
              <w:t>0.015 (0.001–0.025)</w:t>
            </w:r>
          </w:p>
        </w:tc>
        <w:tc>
          <w:tcPr>
            <w:tcW w:w="0" w:type="auto"/>
            <w:hideMark/>
          </w:tcPr>
          <w:p w14:paraId="465AA964" w14:textId="77777777" w:rsidR="00D266AD" w:rsidRPr="00D266AD" w:rsidRDefault="00D266AD" w:rsidP="00D266AD">
            <w:pPr>
              <w:rPr>
                <w:rFonts w:ascii="Times New Roman" w:eastAsia="Times New Roman" w:hAnsi="Times New Roman" w:cs="Times New Roman"/>
                <w:kern w:val="0"/>
                <w14:ligatures w14:val="none"/>
              </w:rPr>
            </w:pPr>
            <w:r w:rsidRPr="00D266AD">
              <w:rPr>
                <w:rFonts w:ascii="Times New Roman" w:eastAsia="Times New Roman" w:hAnsi="Times New Roman" w:cs="Times New Roman"/>
                <w:kern w:val="0"/>
                <w14:ligatures w14:val="none"/>
              </w:rPr>
              <w:t>—</w:t>
            </w:r>
          </w:p>
        </w:tc>
      </w:tr>
      <w:tr w:rsidR="00D266AD" w:rsidRPr="00D266AD" w14:paraId="09FAA6CB" w14:textId="77777777" w:rsidTr="00D266AD">
        <w:tc>
          <w:tcPr>
            <w:tcW w:w="0" w:type="auto"/>
            <w:hideMark/>
          </w:tcPr>
          <w:p w14:paraId="599CCA25" w14:textId="77777777" w:rsidR="00D266AD" w:rsidRPr="00D266AD" w:rsidRDefault="00D266AD" w:rsidP="00D266AD">
            <w:pPr>
              <w:rPr>
                <w:rFonts w:ascii="Times New Roman" w:eastAsia="Times New Roman" w:hAnsi="Times New Roman" w:cs="Times New Roman"/>
                <w:kern w:val="0"/>
                <w14:ligatures w14:val="none"/>
              </w:rPr>
            </w:pPr>
            <w:r w:rsidRPr="00D266AD">
              <w:rPr>
                <w:rFonts w:ascii="Times New Roman" w:eastAsia="Times New Roman" w:hAnsi="Times New Roman" w:cs="Times New Roman"/>
                <w:kern w:val="0"/>
                <w14:ligatures w14:val="none"/>
              </w:rPr>
              <w:lastRenderedPageBreak/>
              <w:t>Cavernous sinus involvement</w:t>
            </w:r>
          </w:p>
        </w:tc>
        <w:tc>
          <w:tcPr>
            <w:tcW w:w="0" w:type="auto"/>
            <w:hideMark/>
          </w:tcPr>
          <w:p w14:paraId="6F03CFBF" w14:textId="77777777" w:rsidR="00D266AD" w:rsidRPr="00D266AD" w:rsidRDefault="00D266AD" w:rsidP="00D266AD">
            <w:pPr>
              <w:rPr>
                <w:rFonts w:ascii="Times New Roman" w:eastAsia="Times New Roman" w:hAnsi="Times New Roman" w:cs="Times New Roman"/>
                <w:kern w:val="0"/>
                <w14:ligatures w14:val="none"/>
              </w:rPr>
            </w:pPr>
            <w:r w:rsidRPr="00D266AD">
              <w:rPr>
                <w:rFonts w:ascii="Times New Roman" w:eastAsia="Times New Roman" w:hAnsi="Times New Roman" w:cs="Times New Roman"/>
                <w:kern w:val="0"/>
                <w14:ligatures w14:val="none"/>
              </w:rPr>
              <w:t>—</w:t>
            </w:r>
          </w:p>
        </w:tc>
        <w:tc>
          <w:tcPr>
            <w:tcW w:w="0" w:type="auto"/>
            <w:hideMark/>
          </w:tcPr>
          <w:p w14:paraId="0045B838" w14:textId="77777777" w:rsidR="00D266AD" w:rsidRPr="00D266AD" w:rsidRDefault="00D266AD" w:rsidP="00D266AD">
            <w:pPr>
              <w:rPr>
                <w:rFonts w:ascii="Times New Roman" w:eastAsia="Times New Roman" w:hAnsi="Times New Roman" w:cs="Times New Roman"/>
                <w:kern w:val="0"/>
                <w14:ligatures w14:val="none"/>
              </w:rPr>
            </w:pPr>
            <w:r w:rsidRPr="00D266AD">
              <w:rPr>
                <w:rFonts w:ascii="Times New Roman" w:eastAsia="Times New Roman" w:hAnsi="Times New Roman" w:cs="Times New Roman"/>
                <w:kern w:val="0"/>
                <w14:ligatures w14:val="none"/>
              </w:rPr>
              <w:t>0.015 (−0.031–0.056)</w:t>
            </w:r>
          </w:p>
        </w:tc>
        <w:tc>
          <w:tcPr>
            <w:tcW w:w="0" w:type="auto"/>
            <w:hideMark/>
          </w:tcPr>
          <w:p w14:paraId="0DB8EA21" w14:textId="77777777" w:rsidR="00D266AD" w:rsidRPr="00D266AD" w:rsidRDefault="00D266AD" w:rsidP="00D266AD">
            <w:pPr>
              <w:rPr>
                <w:rFonts w:ascii="Times New Roman" w:eastAsia="Times New Roman" w:hAnsi="Times New Roman" w:cs="Times New Roman"/>
                <w:kern w:val="0"/>
                <w14:ligatures w14:val="none"/>
              </w:rPr>
            </w:pPr>
            <w:r w:rsidRPr="00D266AD">
              <w:rPr>
                <w:rFonts w:ascii="Times New Roman" w:eastAsia="Times New Roman" w:hAnsi="Times New Roman" w:cs="Times New Roman"/>
                <w:kern w:val="0"/>
                <w14:ligatures w14:val="none"/>
              </w:rPr>
              <w:t>0.039 (0.018–0.047)</w:t>
            </w:r>
          </w:p>
        </w:tc>
      </w:tr>
      <w:tr w:rsidR="00D266AD" w:rsidRPr="00D266AD" w14:paraId="7E38F37D" w14:textId="77777777" w:rsidTr="00D266AD">
        <w:tc>
          <w:tcPr>
            <w:tcW w:w="0" w:type="auto"/>
            <w:hideMark/>
          </w:tcPr>
          <w:p w14:paraId="6FDD816E" w14:textId="77777777" w:rsidR="00D266AD" w:rsidRPr="00D266AD" w:rsidRDefault="00D266AD" w:rsidP="00D266AD">
            <w:pPr>
              <w:rPr>
                <w:rFonts w:ascii="Times New Roman" w:eastAsia="Times New Roman" w:hAnsi="Times New Roman" w:cs="Times New Roman"/>
                <w:kern w:val="0"/>
                <w14:ligatures w14:val="none"/>
              </w:rPr>
            </w:pPr>
            <w:r w:rsidRPr="00D266AD">
              <w:rPr>
                <w:rFonts w:ascii="Times New Roman" w:eastAsia="Times New Roman" w:hAnsi="Times New Roman" w:cs="Times New Roman"/>
                <w:kern w:val="0"/>
                <w14:ligatures w14:val="none"/>
              </w:rPr>
              <w:t>ICA encasement</w:t>
            </w:r>
          </w:p>
        </w:tc>
        <w:tc>
          <w:tcPr>
            <w:tcW w:w="0" w:type="auto"/>
            <w:hideMark/>
          </w:tcPr>
          <w:p w14:paraId="1FBB5A7F" w14:textId="77777777" w:rsidR="00D266AD" w:rsidRPr="00D266AD" w:rsidRDefault="00D266AD" w:rsidP="00D266AD">
            <w:pPr>
              <w:rPr>
                <w:rFonts w:ascii="Times New Roman" w:eastAsia="Times New Roman" w:hAnsi="Times New Roman" w:cs="Times New Roman"/>
                <w:kern w:val="0"/>
                <w14:ligatures w14:val="none"/>
              </w:rPr>
            </w:pPr>
            <w:r w:rsidRPr="00D266AD">
              <w:rPr>
                <w:rFonts w:ascii="Times New Roman" w:eastAsia="Times New Roman" w:hAnsi="Times New Roman" w:cs="Times New Roman"/>
                <w:kern w:val="0"/>
                <w14:ligatures w14:val="none"/>
              </w:rPr>
              <w:t>—</w:t>
            </w:r>
          </w:p>
        </w:tc>
        <w:tc>
          <w:tcPr>
            <w:tcW w:w="0" w:type="auto"/>
            <w:hideMark/>
          </w:tcPr>
          <w:p w14:paraId="718B77A6" w14:textId="77777777" w:rsidR="00D266AD" w:rsidRPr="00D266AD" w:rsidRDefault="00D266AD" w:rsidP="00D266AD">
            <w:pPr>
              <w:rPr>
                <w:rFonts w:ascii="Times New Roman" w:eastAsia="Times New Roman" w:hAnsi="Times New Roman" w:cs="Times New Roman"/>
                <w:kern w:val="0"/>
                <w14:ligatures w14:val="none"/>
              </w:rPr>
            </w:pPr>
            <w:r w:rsidRPr="00D266AD">
              <w:rPr>
                <w:rFonts w:ascii="Times New Roman" w:eastAsia="Times New Roman" w:hAnsi="Times New Roman" w:cs="Times New Roman"/>
                <w:kern w:val="0"/>
                <w14:ligatures w14:val="none"/>
              </w:rPr>
              <w:t>—</w:t>
            </w:r>
          </w:p>
        </w:tc>
        <w:tc>
          <w:tcPr>
            <w:tcW w:w="0" w:type="auto"/>
            <w:hideMark/>
          </w:tcPr>
          <w:p w14:paraId="0E7A2061" w14:textId="77777777" w:rsidR="00D266AD" w:rsidRPr="00D266AD" w:rsidRDefault="00D266AD" w:rsidP="00D266AD">
            <w:pPr>
              <w:rPr>
                <w:rFonts w:ascii="Times New Roman" w:eastAsia="Times New Roman" w:hAnsi="Times New Roman" w:cs="Times New Roman"/>
                <w:kern w:val="0"/>
                <w14:ligatures w14:val="none"/>
              </w:rPr>
            </w:pPr>
            <w:r w:rsidRPr="00D266AD">
              <w:rPr>
                <w:rFonts w:ascii="Times New Roman" w:eastAsia="Times New Roman" w:hAnsi="Times New Roman" w:cs="Times New Roman"/>
                <w:kern w:val="0"/>
                <w14:ligatures w14:val="none"/>
              </w:rPr>
              <w:t>0.031 (0.014–0.037)</w:t>
            </w:r>
          </w:p>
        </w:tc>
      </w:tr>
      <w:tr w:rsidR="00D266AD" w:rsidRPr="00D266AD" w14:paraId="6EE821FA" w14:textId="77777777" w:rsidTr="00D266AD">
        <w:tc>
          <w:tcPr>
            <w:tcW w:w="0" w:type="auto"/>
            <w:hideMark/>
          </w:tcPr>
          <w:p w14:paraId="69E202D6" w14:textId="77777777" w:rsidR="00D266AD" w:rsidRPr="00D266AD" w:rsidRDefault="00D266AD" w:rsidP="00D266AD">
            <w:pPr>
              <w:rPr>
                <w:rFonts w:ascii="Times New Roman" w:eastAsia="Times New Roman" w:hAnsi="Times New Roman" w:cs="Times New Roman"/>
                <w:kern w:val="0"/>
                <w14:ligatures w14:val="none"/>
              </w:rPr>
            </w:pPr>
            <w:r w:rsidRPr="00D266AD">
              <w:rPr>
                <w:rFonts w:ascii="Times New Roman" w:eastAsia="Times New Roman" w:hAnsi="Times New Roman" w:cs="Times New Roman"/>
                <w:kern w:val="0"/>
                <w14:ligatures w14:val="none"/>
              </w:rPr>
              <w:t>Midline shift</w:t>
            </w:r>
          </w:p>
        </w:tc>
        <w:tc>
          <w:tcPr>
            <w:tcW w:w="0" w:type="auto"/>
            <w:hideMark/>
          </w:tcPr>
          <w:p w14:paraId="1E93B252" w14:textId="77777777" w:rsidR="00D266AD" w:rsidRPr="00D266AD" w:rsidRDefault="00D266AD" w:rsidP="00D266AD">
            <w:pPr>
              <w:rPr>
                <w:rFonts w:ascii="Times New Roman" w:eastAsia="Times New Roman" w:hAnsi="Times New Roman" w:cs="Times New Roman"/>
                <w:kern w:val="0"/>
                <w14:ligatures w14:val="none"/>
              </w:rPr>
            </w:pPr>
            <w:r w:rsidRPr="00D266AD">
              <w:rPr>
                <w:rFonts w:ascii="Times New Roman" w:eastAsia="Times New Roman" w:hAnsi="Times New Roman" w:cs="Times New Roman"/>
                <w:kern w:val="0"/>
                <w14:ligatures w14:val="none"/>
              </w:rPr>
              <w:t>—</w:t>
            </w:r>
          </w:p>
        </w:tc>
        <w:tc>
          <w:tcPr>
            <w:tcW w:w="0" w:type="auto"/>
            <w:hideMark/>
          </w:tcPr>
          <w:p w14:paraId="232CC0D1" w14:textId="77777777" w:rsidR="00D266AD" w:rsidRPr="00D266AD" w:rsidRDefault="00D266AD" w:rsidP="00D266AD">
            <w:pPr>
              <w:rPr>
                <w:rFonts w:ascii="Times New Roman" w:eastAsia="Times New Roman" w:hAnsi="Times New Roman" w:cs="Times New Roman"/>
                <w:kern w:val="0"/>
                <w14:ligatures w14:val="none"/>
              </w:rPr>
            </w:pPr>
            <w:r w:rsidRPr="00D266AD">
              <w:rPr>
                <w:rFonts w:ascii="Times New Roman" w:eastAsia="Times New Roman" w:hAnsi="Times New Roman" w:cs="Times New Roman"/>
                <w:kern w:val="0"/>
                <w14:ligatures w14:val="none"/>
              </w:rPr>
              <w:t>—</w:t>
            </w:r>
          </w:p>
        </w:tc>
        <w:tc>
          <w:tcPr>
            <w:tcW w:w="0" w:type="auto"/>
            <w:hideMark/>
          </w:tcPr>
          <w:p w14:paraId="06EDE147" w14:textId="77777777" w:rsidR="00D266AD" w:rsidRPr="00D266AD" w:rsidRDefault="00D266AD" w:rsidP="00D266AD">
            <w:pPr>
              <w:rPr>
                <w:rFonts w:ascii="Times New Roman" w:eastAsia="Times New Roman" w:hAnsi="Times New Roman" w:cs="Times New Roman"/>
                <w:kern w:val="0"/>
                <w14:ligatures w14:val="none"/>
              </w:rPr>
            </w:pPr>
            <w:r w:rsidRPr="00D266AD">
              <w:rPr>
                <w:rFonts w:ascii="Times New Roman" w:eastAsia="Times New Roman" w:hAnsi="Times New Roman" w:cs="Times New Roman"/>
                <w:kern w:val="0"/>
                <w14:ligatures w14:val="none"/>
              </w:rPr>
              <w:t>0.026 (−0.004–0.045)</w:t>
            </w:r>
          </w:p>
        </w:tc>
      </w:tr>
      <w:tr w:rsidR="00D266AD" w:rsidRPr="00D266AD" w14:paraId="096588F8" w14:textId="77777777" w:rsidTr="00D266AD">
        <w:tc>
          <w:tcPr>
            <w:tcW w:w="0" w:type="auto"/>
            <w:hideMark/>
          </w:tcPr>
          <w:p w14:paraId="5A6C7512" w14:textId="77777777" w:rsidR="00D266AD" w:rsidRPr="00D266AD" w:rsidRDefault="00D266AD" w:rsidP="00D266AD">
            <w:pPr>
              <w:rPr>
                <w:rFonts w:ascii="Times New Roman" w:eastAsia="Times New Roman" w:hAnsi="Times New Roman" w:cs="Times New Roman"/>
                <w:kern w:val="0"/>
                <w14:ligatures w14:val="none"/>
              </w:rPr>
            </w:pPr>
            <w:r w:rsidRPr="00D266AD">
              <w:rPr>
                <w:rFonts w:ascii="Times New Roman" w:eastAsia="Times New Roman" w:hAnsi="Times New Roman" w:cs="Times New Roman"/>
                <w:kern w:val="0"/>
                <w14:ligatures w14:val="none"/>
              </w:rPr>
              <w:t>Tumor calcification</w:t>
            </w:r>
          </w:p>
        </w:tc>
        <w:tc>
          <w:tcPr>
            <w:tcW w:w="0" w:type="auto"/>
            <w:hideMark/>
          </w:tcPr>
          <w:p w14:paraId="0DD41A1F" w14:textId="77777777" w:rsidR="00D266AD" w:rsidRPr="00D266AD" w:rsidRDefault="00D266AD" w:rsidP="00D266AD">
            <w:pPr>
              <w:rPr>
                <w:rFonts w:ascii="Times New Roman" w:eastAsia="Times New Roman" w:hAnsi="Times New Roman" w:cs="Times New Roman"/>
                <w:kern w:val="0"/>
                <w14:ligatures w14:val="none"/>
              </w:rPr>
            </w:pPr>
            <w:r w:rsidRPr="00D266AD">
              <w:rPr>
                <w:rFonts w:ascii="Times New Roman" w:eastAsia="Times New Roman" w:hAnsi="Times New Roman" w:cs="Times New Roman"/>
                <w:kern w:val="0"/>
                <w14:ligatures w14:val="none"/>
              </w:rPr>
              <w:t>—</w:t>
            </w:r>
          </w:p>
        </w:tc>
        <w:tc>
          <w:tcPr>
            <w:tcW w:w="0" w:type="auto"/>
            <w:hideMark/>
          </w:tcPr>
          <w:p w14:paraId="1CFABDED" w14:textId="77777777" w:rsidR="00D266AD" w:rsidRPr="00D266AD" w:rsidRDefault="00D266AD" w:rsidP="00D266AD">
            <w:pPr>
              <w:rPr>
                <w:rFonts w:ascii="Times New Roman" w:eastAsia="Times New Roman" w:hAnsi="Times New Roman" w:cs="Times New Roman"/>
                <w:kern w:val="0"/>
                <w14:ligatures w14:val="none"/>
              </w:rPr>
            </w:pPr>
            <w:r w:rsidRPr="00D266AD">
              <w:rPr>
                <w:rFonts w:ascii="Times New Roman" w:eastAsia="Times New Roman" w:hAnsi="Times New Roman" w:cs="Times New Roman"/>
                <w:kern w:val="0"/>
                <w14:ligatures w14:val="none"/>
              </w:rPr>
              <w:t>—</w:t>
            </w:r>
          </w:p>
        </w:tc>
        <w:tc>
          <w:tcPr>
            <w:tcW w:w="0" w:type="auto"/>
            <w:hideMark/>
          </w:tcPr>
          <w:p w14:paraId="5A54FC72" w14:textId="77777777" w:rsidR="00D266AD" w:rsidRPr="00D266AD" w:rsidRDefault="00D266AD" w:rsidP="00D266AD">
            <w:pPr>
              <w:rPr>
                <w:rFonts w:ascii="Times New Roman" w:eastAsia="Times New Roman" w:hAnsi="Times New Roman" w:cs="Times New Roman"/>
                <w:kern w:val="0"/>
                <w14:ligatures w14:val="none"/>
              </w:rPr>
            </w:pPr>
            <w:r w:rsidRPr="00D266AD">
              <w:rPr>
                <w:rFonts w:ascii="Times New Roman" w:eastAsia="Times New Roman" w:hAnsi="Times New Roman" w:cs="Times New Roman"/>
                <w:kern w:val="0"/>
                <w14:ligatures w14:val="none"/>
              </w:rPr>
              <w:t>0.016 (−0.001–0.025)</w:t>
            </w:r>
          </w:p>
        </w:tc>
      </w:tr>
      <w:tr w:rsidR="00D266AD" w:rsidRPr="00D266AD" w14:paraId="1F1AA010" w14:textId="77777777" w:rsidTr="00D266AD">
        <w:tc>
          <w:tcPr>
            <w:tcW w:w="0" w:type="auto"/>
            <w:hideMark/>
          </w:tcPr>
          <w:p w14:paraId="1744469F" w14:textId="77777777" w:rsidR="00D266AD" w:rsidRPr="00D266AD" w:rsidRDefault="00D266AD" w:rsidP="00D266AD">
            <w:pPr>
              <w:rPr>
                <w:rFonts w:ascii="Times New Roman" w:eastAsia="Times New Roman" w:hAnsi="Times New Roman" w:cs="Times New Roman"/>
                <w:kern w:val="0"/>
                <w14:ligatures w14:val="none"/>
              </w:rPr>
            </w:pPr>
            <w:r w:rsidRPr="00D266AD">
              <w:rPr>
                <w:rFonts w:ascii="Times New Roman" w:eastAsia="Times New Roman" w:hAnsi="Times New Roman" w:cs="Times New Roman"/>
                <w:kern w:val="0"/>
                <w14:ligatures w14:val="none"/>
              </w:rPr>
              <w:t>Visual deficits</w:t>
            </w:r>
          </w:p>
        </w:tc>
        <w:tc>
          <w:tcPr>
            <w:tcW w:w="0" w:type="auto"/>
            <w:hideMark/>
          </w:tcPr>
          <w:p w14:paraId="315601E7" w14:textId="77777777" w:rsidR="00D266AD" w:rsidRPr="00D266AD" w:rsidRDefault="00D266AD" w:rsidP="00D266AD">
            <w:pPr>
              <w:rPr>
                <w:rFonts w:ascii="Times New Roman" w:eastAsia="Times New Roman" w:hAnsi="Times New Roman" w:cs="Times New Roman"/>
                <w:kern w:val="0"/>
                <w14:ligatures w14:val="none"/>
              </w:rPr>
            </w:pPr>
            <w:r w:rsidRPr="00D266AD">
              <w:rPr>
                <w:rFonts w:ascii="Times New Roman" w:eastAsia="Times New Roman" w:hAnsi="Times New Roman" w:cs="Times New Roman"/>
                <w:kern w:val="0"/>
                <w14:ligatures w14:val="none"/>
              </w:rPr>
              <w:t>—</w:t>
            </w:r>
          </w:p>
        </w:tc>
        <w:tc>
          <w:tcPr>
            <w:tcW w:w="0" w:type="auto"/>
            <w:hideMark/>
          </w:tcPr>
          <w:p w14:paraId="4B93C0FA" w14:textId="77777777" w:rsidR="00D266AD" w:rsidRPr="00D266AD" w:rsidRDefault="00D266AD" w:rsidP="00D266AD">
            <w:pPr>
              <w:rPr>
                <w:rFonts w:ascii="Times New Roman" w:eastAsia="Times New Roman" w:hAnsi="Times New Roman" w:cs="Times New Roman"/>
                <w:kern w:val="0"/>
                <w14:ligatures w14:val="none"/>
              </w:rPr>
            </w:pPr>
            <w:r w:rsidRPr="00D266AD">
              <w:rPr>
                <w:rFonts w:ascii="Times New Roman" w:eastAsia="Times New Roman" w:hAnsi="Times New Roman" w:cs="Times New Roman"/>
                <w:kern w:val="0"/>
                <w14:ligatures w14:val="none"/>
              </w:rPr>
              <w:t>—</w:t>
            </w:r>
          </w:p>
        </w:tc>
        <w:tc>
          <w:tcPr>
            <w:tcW w:w="0" w:type="auto"/>
            <w:hideMark/>
          </w:tcPr>
          <w:p w14:paraId="7E5F0A49" w14:textId="77777777" w:rsidR="00D266AD" w:rsidRPr="00D266AD" w:rsidRDefault="00D266AD" w:rsidP="00D266AD">
            <w:pPr>
              <w:rPr>
                <w:rFonts w:ascii="Times New Roman" w:eastAsia="Times New Roman" w:hAnsi="Times New Roman" w:cs="Times New Roman"/>
                <w:kern w:val="0"/>
                <w14:ligatures w14:val="none"/>
              </w:rPr>
            </w:pPr>
            <w:r w:rsidRPr="00D266AD">
              <w:rPr>
                <w:rFonts w:ascii="Times New Roman" w:eastAsia="Times New Roman" w:hAnsi="Times New Roman" w:cs="Times New Roman"/>
                <w:kern w:val="0"/>
                <w14:ligatures w14:val="none"/>
              </w:rPr>
              <w:t>0.012 (−0.003–0.017)</w:t>
            </w:r>
          </w:p>
        </w:tc>
      </w:tr>
    </w:tbl>
    <w:p w14:paraId="298E627D" w14:textId="7E343540" w:rsidR="00D266AD" w:rsidRPr="00E24201" w:rsidRDefault="00E24201" w:rsidP="00E24201">
      <w:pPr>
        <w:jc w:val="both"/>
        <w:rPr>
          <w:sz w:val="22"/>
          <w:szCs w:val="22"/>
        </w:rPr>
      </w:pPr>
      <w:r w:rsidRPr="00E24201">
        <w:rPr>
          <w:sz w:val="22"/>
          <w:szCs w:val="22"/>
        </w:rPr>
        <w:t>Permutation importance values represent the mean decrease in model performance following random permutation of each preoperative variable, computed on held-out validation data. Values are reported with 95% confidence intervals derived from repeated permutations. Blank cells indicate variables not retained in the final preoperative model for the corresponding outcome.</w:t>
      </w:r>
    </w:p>
    <w:sectPr w:rsidR="00D266AD" w:rsidRPr="00E242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D9D"/>
    <w:rsid w:val="000C388D"/>
    <w:rsid w:val="000E25CA"/>
    <w:rsid w:val="00303F6E"/>
    <w:rsid w:val="00323E97"/>
    <w:rsid w:val="004943F5"/>
    <w:rsid w:val="005305B7"/>
    <w:rsid w:val="00606DE2"/>
    <w:rsid w:val="006D46CA"/>
    <w:rsid w:val="008E7B6E"/>
    <w:rsid w:val="00997D9D"/>
    <w:rsid w:val="009E1462"/>
    <w:rsid w:val="00A07825"/>
    <w:rsid w:val="00A216BD"/>
    <w:rsid w:val="00B060E4"/>
    <w:rsid w:val="00BB7A01"/>
    <w:rsid w:val="00BC19E9"/>
    <w:rsid w:val="00CC06AD"/>
    <w:rsid w:val="00D21708"/>
    <w:rsid w:val="00D266AD"/>
    <w:rsid w:val="00E15957"/>
    <w:rsid w:val="00E24201"/>
    <w:rsid w:val="00E65E76"/>
    <w:rsid w:val="00EE54C5"/>
    <w:rsid w:val="00FC06E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C5573"/>
  <w15:chartTrackingRefBased/>
  <w15:docId w15:val="{B0FD0624-7126-DA43-84A9-AA24E26CE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D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7D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7D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7D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7D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7D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D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D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D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D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7D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97D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7D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7D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7D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D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D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D9D"/>
    <w:rPr>
      <w:rFonts w:eastAsiaTheme="majorEastAsia" w:cstheme="majorBidi"/>
      <w:color w:val="272727" w:themeColor="text1" w:themeTint="D8"/>
    </w:rPr>
  </w:style>
  <w:style w:type="paragraph" w:styleId="Title">
    <w:name w:val="Title"/>
    <w:basedOn w:val="Normal"/>
    <w:next w:val="Normal"/>
    <w:link w:val="TitleChar"/>
    <w:uiPriority w:val="10"/>
    <w:qFormat/>
    <w:rsid w:val="00997D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D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D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D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D9D"/>
    <w:pPr>
      <w:spacing w:before="160"/>
      <w:jc w:val="center"/>
    </w:pPr>
    <w:rPr>
      <w:i/>
      <w:iCs/>
      <w:color w:val="404040" w:themeColor="text1" w:themeTint="BF"/>
    </w:rPr>
  </w:style>
  <w:style w:type="character" w:customStyle="1" w:styleId="QuoteChar">
    <w:name w:val="Quote Char"/>
    <w:basedOn w:val="DefaultParagraphFont"/>
    <w:link w:val="Quote"/>
    <w:uiPriority w:val="29"/>
    <w:rsid w:val="00997D9D"/>
    <w:rPr>
      <w:i/>
      <w:iCs/>
      <w:color w:val="404040" w:themeColor="text1" w:themeTint="BF"/>
    </w:rPr>
  </w:style>
  <w:style w:type="paragraph" w:styleId="ListParagraph">
    <w:name w:val="List Paragraph"/>
    <w:basedOn w:val="Normal"/>
    <w:uiPriority w:val="34"/>
    <w:qFormat/>
    <w:rsid w:val="00997D9D"/>
    <w:pPr>
      <w:ind w:left="720"/>
      <w:contextualSpacing/>
    </w:pPr>
  </w:style>
  <w:style w:type="character" w:styleId="IntenseEmphasis">
    <w:name w:val="Intense Emphasis"/>
    <w:basedOn w:val="DefaultParagraphFont"/>
    <w:uiPriority w:val="21"/>
    <w:qFormat/>
    <w:rsid w:val="00997D9D"/>
    <w:rPr>
      <w:i/>
      <w:iCs/>
      <w:color w:val="0F4761" w:themeColor="accent1" w:themeShade="BF"/>
    </w:rPr>
  </w:style>
  <w:style w:type="paragraph" w:styleId="IntenseQuote">
    <w:name w:val="Intense Quote"/>
    <w:basedOn w:val="Normal"/>
    <w:next w:val="Normal"/>
    <w:link w:val="IntenseQuoteChar"/>
    <w:uiPriority w:val="30"/>
    <w:qFormat/>
    <w:rsid w:val="00997D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7D9D"/>
    <w:rPr>
      <w:i/>
      <w:iCs/>
      <w:color w:val="0F4761" w:themeColor="accent1" w:themeShade="BF"/>
    </w:rPr>
  </w:style>
  <w:style w:type="character" w:styleId="IntenseReference">
    <w:name w:val="Intense Reference"/>
    <w:basedOn w:val="DefaultParagraphFont"/>
    <w:uiPriority w:val="32"/>
    <w:qFormat/>
    <w:rsid w:val="00997D9D"/>
    <w:rPr>
      <w:b/>
      <w:bCs/>
      <w:smallCaps/>
      <w:color w:val="0F4761" w:themeColor="accent1" w:themeShade="BF"/>
      <w:spacing w:val="5"/>
    </w:rPr>
  </w:style>
  <w:style w:type="character" w:styleId="Strong">
    <w:name w:val="Strong"/>
    <w:basedOn w:val="DefaultParagraphFont"/>
    <w:uiPriority w:val="22"/>
    <w:qFormat/>
    <w:rsid w:val="00D266AD"/>
    <w:rPr>
      <w:b/>
      <w:bCs/>
    </w:rPr>
  </w:style>
  <w:style w:type="table" w:styleId="TableGridLight">
    <w:name w:val="Grid Table Light"/>
    <w:basedOn w:val="TableNormal"/>
    <w:uiPriority w:val="40"/>
    <w:rsid w:val="00D266A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B060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868</Words>
  <Characters>5406</Characters>
  <Application>Microsoft Office Word</Application>
  <DocSecurity>0</DocSecurity>
  <Lines>103</Lines>
  <Paragraphs>39</Paragraphs>
  <ScaleCrop>false</ScaleCrop>
  <Company/>
  <LinksUpToDate>false</LinksUpToDate>
  <CharactersWithSpaces>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 Ben Dor</dc:creator>
  <cp:keywords/>
  <dc:description/>
  <cp:lastModifiedBy>Noa Ben Dor</cp:lastModifiedBy>
  <cp:revision>12</cp:revision>
  <dcterms:created xsi:type="dcterms:W3CDTF">2026-02-02T11:46:00Z</dcterms:created>
  <dcterms:modified xsi:type="dcterms:W3CDTF">2026-02-02T12:04:00Z</dcterms:modified>
</cp:coreProperties>
</file>