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r>
    </w:p>
    <w:p>
      <w:pPr>
        <w:pStyle w:val="Title"/>
      </w:pPr>
      <w:r>
        <w:t>ReachPay Project Report</w:t>
      </w:r>
    </w:p>
    <w:p>
      <w:pPr>
        <w:spacing w:before="240"/>
      </w:pPr>
      <w:r>
        <w:rPr>
          <w:color w:val="2C5B89"/>
          <w:sz w:val="32"/>
        </w:rPr>
        <w:t>Codebase review and implementation status</w:t>
      </w:r>
    </w:p>
    <w:p>
      <w:pPr>
        <w:spacing w:before="640"/>
      </w:pPr>
      <w:r>
        <w:rPr>
          <w:b/>
        </w:rPr>
        <w:t>Prepared: 16 October 2026</w:t>
      </w:r>
    </w:p>
    <w:p>
      <w:pPr>
        <w:spacing w:after="80"/>
      </w:pPr>
      <w:r>
        <w:t>Audience: To be confirmed</w:t>
      </w:r>
    </w:p>
    <w:p>
      <w:pPr>
        <w:spacing w:after="80"/>
      </w:pPr>
      <w:r>
        <w:t>Status basis: project files and dated engineering audits</w:t>
      </w:r>
    </w:p>
    <w:p>
      <w:pPr>
        <w:spacing w:before="200"/>
      </w:pPr>
      <w:r>
        <w:t>Overall completion: To be confirmed</w:t>
      </w:r>
    </w:p>
    <w:p>
      <w:pPr>
        <w:spacing w:before="840"/>
      </w:pPr>
      <w:r>
        <w:rPr>
          <w:b/>
        </w:rPr>
        <w:t>Executive summary</w:t>
      </w:r>
    </w:p>
    <w:p>
      <w:r>
        <w:t>ReachPay currently combines a public company website, customer account flows and an authenticated safe-mode portal. Engineering foundations for payment, POS, beneficiary and settlement workflows are present, but live financial operations remain disabled pending verified provider contracts, production configuration and operational controls. A reliable overall completion percentage is not recorded in the project evidence.</w:t>
      </w:r>
    </w:p>
    <w:p>
      <w:r>
        <w:br w:type="page"/>
      </w:r>
    </w:p>
    <w:p>
      <w:pPr>
        <w:pStyle w:val="Heading1"/>
      </w:pPr>
      <w:r>
        <w:t>Contents</w:t>
      </w:r>
    </w:p>
    <w:p>
      <w:pPr>
        <w:spacing w:after="140"/>
      </w:pPr>
      <w:r>
        <w:t>1. Project Overview ........................................ 3</w:t>
      </w:r>
    </w:p>
    <w:p>
      <w:pPr>
        <w:spacing w:after="140"/>
      </w:pPr>
      <w:r>
        <w:t>2. Project Flow ................................................ 3</w:t>
      </w:r>
    </w:p>
    <w:p>
      <w:pPr>
        <w:spacing w:after="140"/>
      </w:pPr>
      <w:r>
        <w:t>3. Technology Stack ....................................... 3</w:t>
      </w:r>
    </w:p>
    <w:p>
      <w:pPr>
        <w:spacing w:after="140"/>
      </w:pPr>
      <w:r>
        <w:t>4. Feature-wise Implementation .................... 4</w:t>
      </w:r>
    </w:p>
    <w:p>
      <w:pPr>
        <w:spacing w:after="140"/>
      </w:pPr>
      <w:r>
        <w:t>5. Integrations .................................................. 4</w:t>
      </w:r>
    </w:p>
    <w:p>
      <w:pPr>
        <w:spacing w:after="140"/>
      </w:pPr>
      <w:r>
        <w:t>6. Completed Work .......................................... 5</w:t>
      </w:r>
    </w:p>
    <w:p>
      <w:pPr>
        <w:spacing w:after="140"/>
      </w:pPr>
      <w:r>
        <w:t>7. Pending / Incomplete Work ....................... 5</w:t>
      </w:r>
    </w:p>
    <w:p>
      <w:pPr>
        <w:spacing w:after="140"/>
      </w:pPr>
      <w:r>
        <w:t>8. Known Issues &amp; Limitations ....................... 5</w:t>
      </w:r>
    </w:p>
    <w:p>
      <w:pPr>
        <w:spacing w:after="140"/>
      </w:pPr>
      <w:r>
        <w:t>9. Deployment &amp; Setup Summary .................. 5</w:t>
      </w:r>
    </w:p>
    <w:p>
      <w:pPr>
        <w:spacing w:after="140"/>
      </w:pPr>
      <w:r>
        <w:t>10. Next Steps / Roadmap ............................. 6</w:t>
      </w:r>
    </w:p>
    <w:p>
      <w:pPr>
        <w:spacing w:after="140"/>
      </w:pPr>
      <w:r>
        <w:t>Evidence and reporting notes ......................... 6</w:t>
      </w:r>
    </w:p>
    <w:p>
      <w:r>
        <w:br w:type="page"/>
      </w:r>
    </w:p>
    <w:p>
      <w:pPr>
        <w:pStyle w:val="Heading1"/>
      </w:pPr>
      <w:r>
        <w:t>1. Project Overview</w:t>
      </w:r>
    </w:p>
    <w:p>
      <w:r>
        <w:t>ReachPay is a single React/Vite project for the public ReachPay website, customer registration and sign-in, and a customer portal. The portal presents a safe-mode settlement workspace. The project documentation describes an India-focused payments product, but says this focus is an assumption and needs owner confirmation.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8496"/>
      </w:tblGrid>
      <w:tr>
        <w:trPr>
          <w:tblHeader w:val="true"/>
        </w:trPr>
        <w:tc>
          <w:tcPr>
            <w:tcW w:type="dxa" w:w="5083"/>
            <w:shd w:fill="183B63"/>
            <w:vAlign w:val="center"/>
          </w:tcPr>
          <w:p>
            <w:r>
              <w:rPr>
                <w:b/>
                <w:color w:val="FFFFFF"/>
                <w:sz w:val="16"/>
              </w:rPr>
              <w:t>Item</w:t>
            </w:r>
          </w:p>
        </w:tc>
        <w:tc>
          <w:tcPr>
            <w:tcW w:type="dxa" w:w="5083"/>
            <w:shd w:fill="183B63"/>
            <w:vAlign w:val="center"/>
          </w:tcPr>
          <w:p>
            <w:r>
              <w:rPr>
                <w:b/>
                <w:color w:val="FFFFFF"/>
                <w:sz w:val="16"/>
              </w:rPr>
              <w:t>Verified detail</w:t>
            </w:r>
          </w:p>
        </w:tc>
      </w:tr>
      <w:tr>
        <w:tc>
          <w:tcPr>
            <w:tcW w:type="dxa" w:w="2160"/>
            <w:vAlign w:val="center"/>
          </w:tcPr>
          <w:p>
            <w:pPr>
              <w:spacing w:after="40"/>
            </w:pPr>
            <w:r>
              <w:rPr>
                <w:sz w:val="16"/>
              </w:rPr>
              <w:t>Purpose</w:t>
            </w:r>
          </w:p>
        </w:tc>
        <w:tc>
          <w:tcPr>
            <w:tcW w:type="dxa" w:w="8496"/>
            <w:vAlign w:val="center"/>
          </w:tcPr>
          <w:p>
            <w:pPr>
              <w:spacing w:after="40"/>
            </w:pPr>
            <w:r>
              <w:rPr>
                <w:sz w:val="16"/>
              </w:rPr>
              <w:t>Present ReachPay and its proposed services, accept enquiries, authenticate customers, and show settlement workflow/readiness.</w:t>
            </w:r>
          </w:p>
        </w:tc>
      </w:tr>
      <w:tr>
        <w:tc>
          <w:tcPr>
            <w:tcW w:type="dxa" w:w="2160"/>
            <w:vAlign w:val="center"/>
            <w:shd w:fill="F3F6F9"/>
          </w:tcPr>
          <w:p>
            <w:pPr>
              <w:spacing w:after="40"/>
            </w:pPr>
            <w:r>
              <w:rPr>
                <w:sz w:val="16"/>
              </w:rPr>
              <w:t>Target users</w:t>
            </w:r>
          </w:p>
        </w:tc>
        <w:tc>
          <w:tcPr>
            <w:tcW w:type="dxa" w:w="8496"/>
            <w:vAlign w:val="center"/>
            <w:shd w:fill="F3F6F9"/>
          </w:tcPr>
          <w:p>
            <w:pPr>
              <w:spacing w:after="40"/>
            </w:pPr>
            <w:r>
              <w:rPr>
                <w:sz w:val="16"/>
              </w:rPr>
              <w:t>Public visitors and registered customers are represented in the site. Operational admin users and roles: To be confirmed.</w:t>
            </w:r>
          </w:p>
        </w:tc>
      </w:tr>
      <w:tr>
        <w:tc>
          <w:tcPr>
            <w:tcW w:type="dxa" w:w="2160"/>
            <w:vAlign w:val="center"/>
          </w:tcPr>
          <w:p>
            <w:pPr>
              <w:spacing w:after="40"/>
            </w:pPr>
            <w:r>
              <w:rPr>
                <w:sz w:val="16"/>
              </w:rPr>
              <w:t>Scope</w:t>
            </w:r>
          </w:p>
        </w:tc>
        <w:tc>
          <w:tcPr>
            <w:tcW w:type="dxa" w:w="8496"/>
            <w:vAlign w:val="center"/>
          </w:tcPr>
          <w:p>
            <w:pPr>
              <w:spacing w:after="40"/>
            </w:pPr>
            <w:r>
              <w:rPr>
                <w:sz w:val="16"/>
              </w:rPr>
              <w:t>Public website, contact/careers/newsletter-interest forms, customer signup/login/OTP, dashboard, and financial-domain/provider foundations.</w:t>
            </w:r>
          </w:p>
        </w:tc>
      </w:tr>
      <w:tr>
        <w:tc>
          <w:tcPr>
            <w:tcW w:type="dxa" w:w="2160"/>
            <w:vAlign w:val="center"/>
            <w:shd w:fill="F3F6F9"/>
          </w:tcPr>
          <w:p>
            <w:pPr>
              <w:spacing w:after="40"/>
            </w:pPr>
            <w:r>
              <w:rPr>
                <w:sz w:val="16"/>
              </w:rPr>
              <w:t>Current status</w:t>
            </w:r>
          </w:p>
        </w:tc>
        <w:tc>
          <w:tcPr>
            <w:tcW w:type="dxa" w:w="8496"/>
            <w:vAlign w:val="center"/>
            <w:shd w:fill="F3F6F9"/>
          </w:tcPr>
          <w:p>
            <w:pPr>
              <w:spacing w:after="40"/>
            </w:pPr>
            <w:r>
              <w:rPr>
                <w:sz w:val="16"/>
              </w:rPr>
              <w:t>Website and customer account flow implemented. Financial capabilities are foundations only and live money movement is disabled.</w:t>
            </w:r>
          </w:p>
        </w:tc>
      </w:tr>
      <w:tr>
        <w:tc>
          <w:tcPr>
            <w:tcW w:type="dxa" w:w="2160"/>
            <w:vAlign w:val="center"/>
          </w:tcPr>
          <w:p>
            <w:pPr>
              <w:spacing w:after="40"/>
            </w:pPr>
            <w:r>
              <w:rPr>
                <w:sz w:val="16"/>
              </w:rPr>
              <w:t>Completion percentage</w:t>
            </w:r>
          </w:p>
        </w:tc>
        <w:tc>
          <w:tcPr>
            <w:tcW w:type="dxa" w:w="8496"/>
            <w:vAlign w:val="center"/>
          </w:tcPr>
          <w:p>
            <w:pPr>
              <w:spacing w:after="40"/>
            </w:pPr>
            <w:r>
              <w:rPr>
                <w:sz w:val="16"/>
              </w:rPr>
              <w:t>To be confirmed. No verified project-wide percentage or approved delivery baseline was found.</w:t>
            </w:r>
          </w:p>
        </w:tc>
      </w:tr>
    </w:tbl>
    <w:p>
      <w:pPr>
        <w:spacing w:after="20"/>
      </w:pPr>
    </w:p>
    <w:p>
      <w:pPr>
        <w:pStyle w:val="Heading1"/>
      </w:pPr>
      <w:r>
        <w:t>2. Project Flow</w:t>
      </w:r>
    </w:p>
    <w:p>
      <w:pPr>
        <w:pStyle w:val="Heading2"/>
      </w:pPr>
      <w:r>
        <w:t>Customer flow</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80"/>
        <w:gridCol w:w="9576"/>
      </w:tblGrid>
      <w:tr>
        <w:trPr>
          <w:tblHeader w:val="true"/>
        </w:trPr>
        <w:tc>
          <w:tcPr>
            <w:tcW w:type="dxa" w:w="5083"/>
            <w:shd w:fill="183B63"/>
            <w:vAlign w:val="center"/>
          </w:tcPr>
          <w:p>
            <w:r>
              <w:rPr>
                <w:b/>
                <w:color w:val="FFFFFF"/>
                <w:sz w:val="16"/>
              </w:rPr>
              <w:t>Step</w:t>
            </w:r>
          </w:p>
        </w:tc>
        <w:tc>
          <w:tcPr>
            <w:tcW w:type="dxa" w:w="5083"/>
            <w:shd w:fill="183B63"/>
            <w:vAlign w:val="center"/>
          </w:tcPr>
          <w:p>
            <w:r>
              <w:rPr>
                <w:b/>
                <w:color w:val="FFFFFF"/>
                <w:sz w:val="16"/>
              </w:rPr>
              <w:t>Flow</w:t>
            </w:r>
          </w:p>
        </w:tc>
      </w:tr>
      <w:tr>
        <w:tc>
          <w:tcPr>
            <w:tcW w:type="dxa" w:w="1080"/>
            <w:vAlign w:val="center"/>
          </w:tcPr>
          <w:p>
            <w:pPr>
              <w:spacing w:after="40"/>
            </w:pPr>
            <w:r>
              <w:rPr>
                <w:sz w:val="16"/>
              </w:rPr>
              <w:t>1</w:t>
            </w:r>
          </w:p>
        </w:tc>
        <w:tc>
          <w:tcPr>
            <w:tcW w:type="dxa" w:w="9576"/>
            <w:vAlign w:val="center"/>
          </w:tcPr>
          <w:p>
            <w:pPr>
              <w:spacing w:after="40"/>
            </w:pPr>
            <w:r>
              <w:rPr>
                <w:sz w:val="16"/>
              </w:rPr>
              <w:t>Visitor browses public pages and service information.</w:t>
            </w:r>
          </w:p>
        </w:tc>
      </w:tr>
      <w:tr>
        <w:tc>
          <w:tcPr>
            <w:tcW w:type="dxa" w:w="1080"/>
            <w:vAlign w:val="center"/>
            <w:shd w:fill="F3F6F9"/>
          </w:tcPr>
          <w:p>
            <w:pPr>
              <w:spacing w:after="40"/>
            </w:pPr>
            <w:r>
              <w:rPr>
                <w:sz w:val="16"/>
              </w:rPr>
              <w:t>2</w:t>
            </w:r>
          </w:p>
        </w:tc>
        <w:tc>
          <w:tcPr>
            <w:tcW w:type="dxa" w:w="9576"/>
            <w:vAlign w:val="center"/>
            <w:shd w:fill="F3F6F9"/>
          </w:tcPr>
          <w:p>
            <w:pPr>
              <w:spacing w:after="40"/>
            </w:pPr>
            <w:r>
              <w:rPr>
                <w:sz w:val="16"/>
              </w:rPr>
              <w:t>Visitor submits a contact, career enquiry, or newsletter-interest request.</w:t>
            </w:r>
          </w:p>
        </w:tc>
      </w:tr>
      <w:tr>
        <w:tc>
          <w:tcPr>
            <w:tcW w:type="dxa" w:w="1080"/>
            <w:vAlign w:val="center"/>
          </w:tcPr>
          <w:p>
            <w:pPr>
              <w:spacing w:after="40"/>
            </w:pPr>
            <w:r>
              <w:rPr>
                <w:sz w:val="16"/>
              </w:rPr>
              <w:t>3</w:t>
            </w:r>
          </w:p>
        </w:tc>
        <w:tc>
          <w:tcPr>
            <w:tcW w:type="dxa" w:w="9576"/>
            <w:vAlign w:val="center"/>
          </w:tcPr>
          <w:p>
            <w:pPr>
              <w:spacing w:after="40"/>
            </w:pPr>
            <w:r>
              <w:rPr>
                <w:sz w:val="16"/>
              </w:rPr>
              <w:t>Customer creates an account with name, email, mobile and password, then verifies email and mobile OTPs.</w:t>
            </w:r>
          </w:p>
        </w:tc>
      </w:tr>
      <w:tr>
        <w:tc>
          <w:tcPr>
            <w:tcW w:type="dxa" w:w="1080"/>
            <w:vAlign w:val="center"/>
            <w:shd w:fill="F3F6F9"/>
          </w:tcPr>
          <w:p>
            <w:pPr>
              <w:spacing w:after="40"/>
            </w:pPr>
            <w:r>
              <w:rPr>
                <w:sz w:val="16"/>
              </w:rPr>
              <w:t>4</w:t>
            </w:r>
          </w:p>
        </w:tc>
        <w:tc>
          <w:tcPr>
            <w:tcW w:type="dxa" w:w="9576"/>
            <w:vAlign w:val="center"/>
            <w:shd w:fill="F3F6F9"/>
          </w:tcPr>
          <w:p>
            <w:pPr>
              <w:spacing w:after="40"/>
            </w:pPr>
            <w:r>
              <w:rPr>
                <w:sz w:val="16"/>
              </w:rPr>
              <w:t>Customer signs in with email or mobile and password.</w:t>
            </w:r>
          </w:p>
        </w:tc>
      </w:tr>
      <w:tr>
        <w:tc>
          <w:tcPr>
            <w:tcW w:type="dxa" w:w="1080"/>
            <w:vAlign w:val="center"/>
          </w:tcPr>
          <w:p>
            <w:pPr>
              <w:spacing w:after="40"/>
            </w:pPr>
            <w:r>
              <w:rPr>
                <w:sz w:val="16"/>
              </w:rPr>
              <w:t>5</w:t>
            </w:r>
          </w:p>
        </w:tc>
        <w:tc>
          <w:tcPr>
            <w:tcW w:type="dxa" w:w="9576"/>
            <w:vAlign w:val="center"/>
          </w:tcPr>
          <w:p>
            <w:pPr>
              <w:spacing w:after="40"/>
            </w:pPr>
            <w:r>
              <w:rPr>
                <w:sz w:val="16"/>
              </w:rPr>
              <w:t>Verified customer opens the dashboard and sees safe-mode settlement journey, categories and integration readiness.</w:t>
            </w:r>
          </w:p>
        </w:tc>
      </w:tr>
      <w:tr>
        <w:tc>
          <w:tcPr>
            <w:tcW w:type="dxa" w:w="1080"/>
            <w:vAlign w:val="center"/>
            <w:shd w:fill="F3F6F9"/>
          </w:tcPr>
          <w:p>
            <w:pPr>
              <w:spacing w:after="40"/>
            </w:pPr>
            <w:r>
              <w:rPr>
                <w:sz w:val="16"/>
              </w:rPr>
              <w:t>6</w:t>
            </w:r>
          </w:p>
        </w:tc>
        <w:tc>
          <w:tcPr>
            <w:tcW w:type="dxa" w:w="9576"/>
            <w:vAlign w:val="center"/>
            <w:shd w:fill="F3F6F9"/>
          </w:tcPr>
          <w:p>
            <w:pPr>
              <w:spacing w:after="40"/>
            </w:pPr>
            <w:r>
              <w:rPr>
                <w:sz w:val="16"/>
              </w:rPr>
              <w:t>Live collection, bill payment, transfer and payout actions are unavailable until authorized services are enabled.</w:t>
            </w:r>
          </w:p>
        </w:tc>
      </w:tr>
    </w:tbl>
    <w:p>
      <w:pPr>
        <w:spacing w:after="20"/>
      </w:pPr>
    </w:p>
    <w:p>
      <w:pPr>
        <w:pStyle w:val="Heading2"/>
      </w:pPr>
      <w:r>
        <w:t>Admin flow</w:t>
      </w:r>
    </w:p>
    <w:p>
      <w:r>
        <w:t>No administrative UI, role-based admin workflow, or admin API is verified in the current route inventory. Admin process and access model: To be confirmed.</w:t>
      </w:r>
    </w:p>
    <w:p>
      <w:pPr>
        <w:pStyle w:val="Heading2"/>
      </w:pPr>
      <w:r>
        <w:t>Simplified flow diagram</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2880"/>
        <w:gridCol w:w="2520"/>
        <w:gridCol w:w="2880"/>
      </w:tblGrid>
      <w:tr>
        <w:trPr>
          <w:tblHeader w:val="true"/>
        </w:trPr>
        <w:tc>
          <w:tcPr>
            <w:tcW w:type="dxa" w:w="2541"/>
            <w:shd w:fill="183B63"/>
            <w:vAlign w:val="center"/>
          </w:tcPr>
          <w:p>
            <w:r>
              <w:rPr>
                <w:b/>
                <w:color w:val="FFFFFF"/>
                <w:sz w:val="16"/>
              </w:rPr>
              <w:t>Public visitor</w:t>
            </w:r>
          </w:p>
        </w:tc>
        <w:tc>
          <w:tcPr>
            <w:tcW w:type="dxa" w:w="2541"/>
            <w:shd w:fill="183B63"/>
            <w:vAlign w:val="center"/>
          </w:tcPr>
          <w:p>
            <w:r>
              <w:rPr>
                <w:b/>
                <w:color w:val="FFFFFF"/>
                <w:sz w:val="16"/>
              </w:rPr>
              <w:t>Account and verification</w:t>
            </w:r>
          </w:p>
        </w:tc>
        <w:tc>
          <w:tcPr>
            <w:tcW w:type="dxa" w:w="2541"/>
            <w:shd w:fill="183B63"/>
            <w:vAlign w:val="center"/>
          </w:tcPr>
          <w:p>
            <w:r>
              <w:rPr>
                <w:b/>
                <w:color w:val="FFFFFF"/>
                <w:sz w:val="16"/>
              </w:rPr>
              <w:t>Customer dashboard</w:t>
            </w:r>
          </w:p>
        </w:tc>
        <w:tc>
          <w:tcPr>
            <w:tcW w:type="dxa" w:w="2541"/>
            <w:shd w:fill="183B63"/>
            <w:vAlign w:val="center"/>
          </w:tcPr>
          <w:p>
            <w:r>
              <w:rPr>
                <w:b/>
                <w:color w:val="FFFFFF"/>
                <w:sz w:val="16"/>
              </w:rPr>
              <w:t>Financial execution</w:t>
            </w:r>
          </w:p>
        </w:tc>
      </w:tr>
      <w:tr>
        <w:tc>
          <w:tcPr>
            <w:tcW w:type="dxa" w:w="2376"/>
            <w:vAlign w:val="center"/>
          </w:tcPr>
          <w:p>
            <w:pPr>
              <w:spacing w:after="40"/>
            </w:pPr>
            <w:r>
              <w:rPr>
                <w:sz w:val="16"/>
              </w:rPr>
              <w:t>Browse / enquire</w:t>
            </w:r>
          </w:p>
        </w:tc>
        <w:tc>
          <w:tcPr>
            <w:tcW w:type="dxa" w:w="2880"/>
            <w:vAlign w:val="center"/>
          </w:tcPr>
          <w:p>
            <w:pPr>
              <w:spacing w:after="40"/>
            </w:pPr>
            <w:r>
              <w:rPr>
                <w:sz w:val="16"/>
              </w:rPr>
              <w:t>Sign up → verify email + mobile → sign in</w:t>
            </w:r>
          </w:p>
        </w:tc>
        <w:tc>
          <w:tcPr>
            <w:tcW w:type="dxa" w:w="2520"/>
            <w:vAlign w:val="center"/>
          </w:tcPr>
          <w:p>
            <w:pPr>
              <w:spacing w:after="40"/>
            </w:pPr>
            <w:r>
              <w:rPr>
                <w:sz w:val="16"/>
              </w:rPr>
              <w:t>Safe-mode status and journey</w:t>
            </w:r>
          </w:p>
        </w:tc>
        <w:tc>
          <w:tcPr>
            <w:tcW w:type="dxa" w:w="2880"/>
            <w:vAlign w:val="center"/>
          </w:tcPr>
          <w:p>
            <w:pPr>
              <w:spacing w:after="40"/>
            </w:pPr>
            <w:r>
              <w:rPr>
                <w:sz w:val="16"/>
              </w:rPr>
              <w:t>Disabled pending providers, funding authority and production controls</w:t>
            </w:r>
          </w:p>
        </w:tc>
      </w:tr>
    </w:tbl>
    <w:p>
      <w:pPr>
        <w:spacing w:after="20"/>
      </w:pPr>
    </w:p>
    <w:p>
      <w:pPr>
        <w:pStyle w:val="Heading1"/>
      </w:pPr>
      <w:r>
        <w:t>3. Technology Stack</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3168"/>
        <w:gridCol w:w="6048"/>
      </w:tblGrid>
      <w:tr>
        <w:trPr>
          <w:tblHeader w:val="true"/>
        </w:trPr>
        <w:tc>
          <w:tcPr>
            <w:tcW w:type="dxa" w:w="3389"/>
            <w:shd w:fill="183B63"/>
            <w:vAlign w:val="center"/>
          </w:tcPr>
          <w:p>
            <w:r>
              <w:rPr>
                <w:b/>
                <w:color w:val="FFFFFF"/>
                <w:sz w:val="15"/>
              </w:rPr>
              <w:t>Layer</w:t>
            </w:r>
          </w:p>
        </w:tc>
        <w:tc>
          <w:tcPr>
            <w:tcW w:type="dxa" w:w="3389"/>
            <w:shd w:fill="183B63"/>
            <w:vAlign w:val="center"/>
          </w:tcPr>
          <w:p>
            <w:r>
              <w:rPr>
                <w:b/>
                <w:color w:val="FFFFFF"/>
                <w:sz w:val="15"/>
              </w:rPr>
              <w:t>Technology</w:t>
            </w:r>
          </w:p>
        </w:tc>
        <w:tc>
          <w:tcPr>
            <w:tcW w:type="dxa" w:w="3389"/>
            <w:shd w:fill="183B63"/>
            <w:vAlign w:val="center"/>
          </w:tcPr>
          <w:p>
            <w:r>
              <w:rPr>
                <w:b/>
                <w:color w:val="FFFFFF"/>
                <w:sz w:val="15"/>
              </w:rPr>
              <w:t>Purpose</w:t>
            </w:r>
          </w:p>
        </w:tc>
      </w:tr>
      <w:tr>
        <w:tc>
          <w:tcPr>
            <w:tcW w:type="dxa" w:w="1440"/>
            <w:vAlign w:val="center"/>
          </w:tcPr>
          <w:p>
            <w:pPr>
              <w:spacing w:after="40"/>
            </w:pPr>
            <w:r>
              <w:rPr>
                <w:sz w:val="15"/>
              </w:rPr>
              <w:t>Frontend</w:t>
            </w:r>
          </w:p>
        </w:tc>
        <w:tc>
          <w:tcPr>
            <w:tcW w:type="dxa" w:w="3168"/>
            <w:vAlign w:val="center"/>
          </w:tcPr>
          <w:p>
            <w:pPr>
              <w:spacing w:after="40"/>
            </w:pPr>
            <w:r>
              <w:rPr>
                <w:sz w:val="15"/>
              </w:rPr>
              <w:t>React 19, Vite 8, native CSS, Lucide React</w:t>
            </w:r>
          </w:p>
        </w:tc>
        <w:tc>
          <w:tcPr>
            <w:tcW w:type="dxa" w:w="6048"/>
            <w:vAlign w:val="center"/>
          </w:tcPr>
          <w:p>
            <w:pPr>
              <w:spacing w:after="40"/>
            </w:pPr>
            <w:r>
              <w:rPr>
                <w:sz w:val="15"/>
              </w:rPr>
              <w:t>Public pages, forms, authentication views and responsive customer dashboard.</w:t>
            </w:r>
          </w:p>
        </w:tc>
      </w:tr>
      <w:tr>
        <w:tc>
          <w:tcPr>
            <w:tcW w:type="dxa" w:w="1440"/>
            <w:vAlign w:val="center"/>
            <w:shd w:fill="F3F6F9"/>
          </w:tcPr>
          <w:p>
            <w:pPr>
              <w:spacing w:after="40"/>
            </w:pPr>
            <w:r>
              <w:rPr>
                <w:sz w:val="15"/>
              </w:rPr>
              <w:t>Backend</w:t>
            </w:r>
          </w:p>
        </w:tc>
        <w:tc>
          <w:tcPr>
            <w:tcW w:type="dxa" w:w="3168"/>
            <w:vAlign w:val="center"/>
            <w:shd w:fill="F3F6F9"/>
          </w:tcPr>
          <w:p>
            <w:pPr>
              <w:spacing w:after="40"/>
            </w:pPr>
            <w:r>
              <w:rPr>
                <w:sz w:val="15"/>
              </w:rPr>
              <w:t>Node.js HTTP API; Vercel Node functions</w:t>
            </w:r>
          </w:p>
        </w:tc>
        <w:tc>
          <w:tcPr>
            <w:tcW w:type="dxa" w:w="6048"/>
            <w:vAlign w:val="center"/>
            <w:shd w:fill="F3F6F9"/>
          </w:tcPr>
          <w:p>
            <w:pPr>
              <w:spacing w:after="40"/>
            </w:pPr>
            <w:r>
              <w:rPr>
                <w:sz w:val="15"/>
              </w:rPr>
              <w:t>Local API and serverless endpoints for auth, contact, POS and service routes.</w:t>
            </w:r>
          </w:p>
        </w:tc>
      </w:tr>
      <w:tr>
        <w:tc>
          <w:tcPr>
            <w:tcW w:type="dxa" w:w="1440"/>
            <w:vAlign w:val="center"/>
          </w:tcPr>
          <w:p>
            <w:pPr>
              <w:spacing w:after="40"/>
            </w:pPr>
            <w:r>
              <w:rPr>
                <w:sz w:val="15"/>
              </w:rPr>
              <w:t>Database</w:t>
            </w:r>
          </w:p>
        </w:tc>
        <w:tc>
          <w:tcPr>
            <w:tcW w:type="dxa" w:w="3168"/>
            <w:vAlign w:val="center"/>
          </w:tcPr>
          <w:p>
            <w:pPr>
              <w:spacing w:after="40"/>
            </w:pPr>
            <w:r>
              <w:rPr>
                <w:sz w:val="15"/>
              </w:rPr>
              <w:t>PostgreSQL schema/migrations; local persistent JSON auth store</w:t>
            </w:r>
          </w:p>
        </w:tc>
        <w:tc>
          <w:tcPr>
            <w:tcW w:type="dxa" w:w="6048"/>
            <w:vAlign w:val="center"/>
          </w:tcPr>
          <w:p>
            <w:pPr>
              <w:spacing w:after="40"/>
            </w:pPr>
            <w:r>
              <w:rPr>
                <w:sz w:val="15"/>
              </w:rPr>
              <w:t>Customer and financial persistence foundations. PostgreSQL availability and production migrations are not verified.</w:t>
            </w:r>
          </w:p>
        </w:tc>
      </w:tr>
      <w:tr>
        <w:tc>
          <w:tcPr>
            <w:tcW w:type="dxa" w:w="1440"/>
            <w:vAlign w:val="center"/>
            <w:shd w:fill="F3F6F9"/>
          </w:tcPr>
          <w:p>
            <w:pPr>
              <w:spacing w:after="40"/>
            </w:pPr>
            <w:r>
              <w:rPr>
                <w:sz w:val="15"/>
              </w:rPr>
              <w:t>Authentication</w:t>
            </w:r>
          </w:p>
        </w:tc>
        <w:tc>
          <w:tcPr>
            <w:tcW w:type="dxa" w:w="3168"/>
            <w:vAlign w:val="center"/>
            <w:shd w:fill="F3F6F9"/>
          </w:tcPr>
          <w:p>
            <w:pPr>
              <w:spacing w:after="40"/>
            </w:pPr>
            <w:r>
              <w:rPr>
                <w:sz w:val="15"/>
              </w:rPr>
              <w:t>Server-side sessions, scrypt helpers, email OTP and Twilio Verify adapter</w:t>
            </w:r>
          </w:p>
        </w:tc>
        <w:tc>
          <w:tcPr>
            <w:tcW w:type="dxa" w:w="6048"/>
            <w:vAlign w:val="center"/>
            <w:shd w:fill="F3F6F9"/>
          </w:tcPr>
          <w:p>
            <w:pPr>
              <w:spacing w:after="40"/>
            </w:pPr>
            <w:r>
              <w:rPr>
                <w:sz w:val="15"/>
              </w:rPr>
              <w:t>Customer signup, login and dual-channel verification.</w:t>
            </w:r>
          </w:p>
        </w:tc>
      </w:tr>
      <w:tr>
        <w:tc>
          <w:tcPr>
            <w:tcW w:type="dxa" w:w="1440"/>
            <w:vAlign w:val="center"/>
          </w:tcPr>
          <w:p>
            <w:pPr>
              <w:spacing w:after="40"/>
            </w:pPr>
            <w:r>
              <w:rPr>
                <w:sz w:val="15"/>
              </w:rPr>
              <w:t>Integrations</w:t>
            </w:r>
          </w:p>
        </w:tc>
        <w:tc>
          <w:tcPr>
            <w:tcW w:type="dxa" w:w="3168"/>
            <w:vAlign w:val="center"/>
          </w:tcPr>
          <w:p>
            <w:pPr>
              <w:spacing w:after="40"/>
            </w:pPr>
            <w:r>
              <w:rPr>
                <w:sz w:val="15"/>
              </w:rPr>
              <w:t>Resend, Upstash Redis, SMTP, Twilio Verify, Paytm POS, PhonePe POS, Eko catalog adapter</w:t>
            </w:r>
          </w:p>
        </w:tc>
        <w:tc>
          <w:tcPr>
            <w:tcW w:type="dxa" w:w="6048"/>
            <w:vAlign w:val="center"/>
          </w:tcPr>
          <w:p>
            <w:pPr>
              <w:spacing w:after="40"/>
            </w:pPr>
            <w:r>
              <w:rPr>
                <w:sz w:val="15"/>
              </w:rPr>
              <w:t>Contact delivery, shared rate limits, OTP and provider integration boundaries/adapters. Credentials/authorization remain unverified.</w:t>
            </w:r>
          </w:p>
        </w:tc>
      </w:tr>
      <w:tr>
        <w:tc>
          <w:tcPr>
            <w:tcW w:type="dxa" w:w="1440"/>
            <w:vAlign w:val="center"/>
            <w:shd w:fill="F3F6F9"/>
          </w:tcPr>
          <w:p>
            <w:pPr>
              <w:spacing w:after="40"/>
            </w:pPr>
            <w:r>
              <w:rPr>
                <w:sz w:val="15"/>
              </w:rPr>
              <w:t>Hosting</w:t>
            </w:r>
          </w:p>
        </w:tc>
        <w:tc>
          <w:tcPr>
            <w:tcW w:type="dxa" w:w="3168"/>
            <w:vAlign w:val="center"/>
            <w:shd w:fill="F3F6F9"/>
          </w:tcPr>
          <w:p>
            <w:pPr>
              <w:spacing w:after="40"/>
            </w:pPr>
            <w:r>
              <w:rPr>
                <w:sz w:val="15"/>
              </w:rPr>
              <w:t>Vercel configuration</w:t>
            </w:r>
          </w:p>
        </w:tc>
        <w:tc>
          <w:tcPr>
            <w:tcW w:type="dxa" w:w="6048"/>
            <w:vAlign w:val="center"/>
            <w:shd w:fill="F3F6F9"/>
          </w:tcPr>
          <w:p>
            <w:pPr>
              <w:spacing w:after="40"/>
            </w:pPr>
            <w:r>
              <w:rPr>
                <w:sz w:val="15"/>
              </w:rPr>
              <w:t>Configured build output and serverless routing. Actual production deployment/domain: To be confirmed.</w:t>
            </w:r>
          </w:p>
        </w:tc>
      </w:tr>
      <w:tr>
        <w:tc>
          <w:tcPr>
            <w:tcW w:type="dxa" w:w="1440"/>
            <w:vAlign w:val="center"/>
          </w:tcPr>
          <w:p>
            <w:pPr>
              <w:spacing w:after="40"/>
            </w:pPr>
            <w:r>
              <w:rPr>
                <w:sz w:val="15"/>
              </w:rPr>
              <w:t>Tools</w:t>
            </w:r>
          </w:p>
        </w:tc>
        <w:tc>
          <w:tcPr>
            <w:tcW w:type="dxa" w:w="3168"/>
            <w:vAlign w:val="center"/>
          </w:tcPr>
          <w:p>
            <w:pPr>
              <w:spacing w:after="40"/>
            </w:pPr>
            <w:r>
              <w:rPr>
                <w:sz w:val="15"/>
              </w:rPr>
              <w:t>npm, ESLint, Node test runner, Vite</w:t>
            </w:r>
          </w:p>
        </w:tc>
        <w:tc>
          <w:tcPr>
            <w:tcW w:type="dxa" w:w="6048"/>
            <w:vAlign w:val="center"/>
          </w:tcPr>
          <w:p>
            <w:pPr>
              <w:spacing w:after="40"/>
            </w:pPr>
            <w:r>
              <w:rPr>
                <w:sz w:val="15"/>
              </w:rPr>
              <w:t>Install, development, linting, tests and production build.</w:t>
            </w:r>
          </w:p>
        </w:tc>
      </w:tr>
    </w:tbl>
    <w:p>
      <w:pPr>
        <w:spacing w:after="20"/>
      </w:pPr>
    </w:p>
    <w:p>
      <w:pPr>
        <w:pStyle w:val="Heading1"/>
      </w:pPr>
      <w:r>
        <w:t>4. Feature-wise Implementation</w:t>
      </w:r>
    </w:p>
    <w:p>
      <w:r>
        <w:t>Status labels describe code presence and documented readiness. “Partial” means implementation or foundation exists but operational verification or required dependencies are missing.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2232"/>
        <w:gridCol w:w="5472"/>
        <w:gridCol w:w="1440"/>
      </w:tblGrid>
      <w:tr>
        <w:trPr>
          <w:tblHeader w:val="true"/>
        </w:trPr>
        <w:tc>
          <w:tcPr>
            <w:tcW w:type="dxa" w:w="2541"/>
            <w:shd w:fill="183B63"/>
            <w:vAlign w:val="center"/>
          </w:tcPr>
          <w:p>
            <w:r>
              <w:rPr>
                <w:b/>
                <w:color w:val="FFFFFF"/>
                <w:sz w:val="14"/>
              </w:rPr>
              <w:t>Feature</w:t>
            </w:r>
          </w:p>
        </w:tc>
        <w:tc>
          <w:tcPr>
            <w:tcW w:type="dxa" w:w="2541"/>
            <w:shd w:fill="183B63"/>
            <w:vAlign w:val="center"/>
          </w:tcPr>
          <w:p>
            <w:r>
              <w:rPr>
                <w:b/>
                <w:color w:val="FFFFFF"/>
                <w:sz w:val="14"/>
              </w:rPr>
              <w:t>Technology / method</w:t>
            </w:r>
          </w:p>
        </w:tc>
        <w:tc>
          <w:tcPr>
            <w:tcW w:type="dxa" w:w="2541"/>
            <w:shd w:fill="183B63"/>
            <w:vAlign w:val="center"/>
          </w:tcPr>
          <w:p>
            <w:r>
              <w:rPr>
                <w:b/>
                <w:color w:val="FFFFFF"/>
                <w:sz w:val="14"/>
              </w:rPr>
              <w:t>How it works</w:t>
            </w:r>
          </w:p>
        </w:tc>
        <w:tc>
          <w:tcPr>
            <w:tcW w:type="dxa" w:w="2541"/>
            <w:shd w:fill="183B63"/>
            <w:vAlign w:val="center"/>
          </w:tcPr>
          <w:p>
            <w:r>
              <w:rPr>
                <w:b/>
                <w:color w:val="FFFFFF"/>
                <w:sz w:val="14"/>
              </w:rPr>
              <w:t>Status</w:t>
            </w:r>
          </w:p>
        </w:tc>
      </w:tr>
      <w:tr>
        <w:tc>
          <w:tcPr>
            <w:tcW w:type="dxa" w:w="1584"/>
            <w:vAlign w:val="center"/>
          </w:tcPr>
          <w:p>
            <w:pPr>
              <w:spacing w:after="40"/>
            </w:pPr>
            <w:r>
              <w:rPr>
                <w:sz w:val="14"/>
              </w:rPr>
              <w:t>Public website</w:t>
            </w:r>
          </w:p>
        </w:tc>
        <w:tc>
          <w:tcPr>
            <w:tcW w:type="dxa" w:w="2232"/>
            <w:vAlign w:val="center"/>
          </w:tcPr>
          <w:p>
            <w:pPr>
              <w:spacing w:after="40"/>
            </w:pPr>
            <w:r>
              <w:rPr>
                <w:sz w:val="14"/>
              </w:rPr>
              <w:t>React/Vite, site content module</w:t>
            </w:r>
          </w:p>
        </w:tc>
        <w:tc>
          <w:tcPr>
            <w:tcW w:type="dxa" w:w="5472"/>
            <w:vAlign w:val="center"/>
          </w:tcPr>
          <w:p>
            <w:pPr>
              <w:spacing w:after="40"/>
            </w:pPr>
            <w:r>
              <w:rPr>
                <w:sz w:val="14"/>
              </w:rPr>
              <w:t>Company, solution, industry, case study, leadership, career, insights and legal scaffold pages.</w:t>
            </w:r>
          </w:p>
        </w:tc>
        <w:tc>
          <w:tcPr>
            <w:tcW w:type="dxa" w:w="1440"/>
            <w:vAlign w:val="center"/>
          </w:tcPr>
          <w:p>
            <w:pPr>
              <w:spacing w:after="40"/>
            </w:pPr>
            <w:r>
              <w:rPr>
                <w:sz w:val="14"/>
              </w:rPr>
              <w:t>Partial</w:t>
            </w:r>
          </w:p>
        </w:tc>
      </w:tr>
      <w:tr>
        <w:tc>
          <w:tcPr>
            <w:tcW w:type="dxa" w:w="1584"/>
            <w:vAlign w:val="center"/>
            <w:shd w:fill="F3F6F9"/>
          </w:tcPr>
          <w:p>
            <w:pPr>
              <w:spacing w:after="40"/>
            </w:pPr>
            <w:r>
              <w:rPr>
                <w:sz w:val="14"/>
              </w:rPr>
              <w:t>Customer signup and login</w:t>
            </w:r>
          </w:p>
        </w:tc>
        <w:tc>
          <w:tcPr>
            <w:tcW w:type="dxa" w:w="2232"/>
            <w:vAlign w:val="center"/>
            <w:shd w:fill="F3F6F9"/>
          </w:tcPr>
          <w:p>
            <w:pPr>
              <w:spacing w:after="40"/>
            </w:pPr>
            <w:r>
              <w:rPr>
                <w:sz w:val="14"/>
              </w:rPr>
              <w:t>Node API, auth controller/core, session storage</w:t>
            </w:r>
          </w:p>
        </w:tc>
        <w:tc>
          <w:tcPr>
            <w:tcW w:type="dxa" w:w="5472"/>
            <w:vAlign w:val="center"/>
            <w:shd w:fill="F3F6F9"/>
          </w:tcPr>
          <w:p>
            <w:pPr>
              <w:spacing w:after="40"/>
            </w:pPr>
            <w:r>
              <w:rPr>
                <w:sz w:val="14"/>
              </w:rPr>
              <w:t>Validates account fields; supports email or mobile login; requires both OTP checks before dashboard access.</w:t>
            </w:r>
          </w:p>
        </w:tc>
        <w:tc>
          <w:tcPr>
            <w:tcW w:type="dxa" w:w="1440"/>
            <w:vAlign w:val="center"/>
            <w:shd w:fill="F3F6F9"/>
          </w:tcPr>
          <w:p>
            <w:pPr>
              <w:spacing w:after="40"/>
            </w:pPr>
            <w:r>
              <w:rPr>
                <w:sz w:val="14"/>
              </w:rPr>
              <w:t>Partial</w:t>
            </w:r>
          </w:p>
        </w:tc>
      </w:tr>
      <w:tr>
        <w:tc>
          <w:tcPr>
            <w:tcW w:type="dxa" w:w="1584"/>
            <w:vAlign w:val="center"/>
          </w:tcPr>
          <w:p>
            <w:pPr>
              <w:spacing w:after="40"/>
            </w:pPr>
            <w:r>
              <w:rPr>
                <w:sz w:val="14"/>
              </w:rPr>
              <w:t>Contact and interest forms</w:t>
            </w:r>
          </w:p>
        </w:tc>
        <w:tc>
          <w:tcPr>
            <w:tcW w:type="dxa" w:w="2232"/>
            <w:vAlign w:val="center"/>
          </w:tcPr>
          <w:p>
            <w:pPr>
              <w:spacing w:after="40"/>
            </w:pPr>
            <w:r>
              <w:rPr>
                <w:sz w:val="14"/>
              </w:rPr>
              <w:t>Contact API, Resend adapter, origin/input checks, rate limiting</w:t>
            </w:r>
          </w:p>
        </w:tc>
        <w:tc>
          <w:tcPr>
            <w:tcW w:type="dxa" w:w="5472"/>
            <w:vAlign w:val="center"/>
          </w:tcPr>
          <w:p>
            <w:pPr>
              <w:spacing w:after="40"/>
            </w:pPr>
            <w:r>
              <w:rPr>
                <w:sz w:val="14"/>
              </w:rPr>
              <w:t>Validates requests and delivers email when configured; errors when delivery is unavailable. Newsletter interest is emailed, not subscribed to a list.</w:t>
            </w:r>
          </w:p>
        </w:tc>
        <w:tc>
          <w:tcPr>
            <w:tcW w:type="dxa" w:w="1440"/>
            <w:vAlign w:val="center"/>
          </w:tcPr>
          <w:p>
            <w:pPr>
              <w:spacing w:after="40"/>
            </w:pPr>
            <w:r>
              <w:rPr>
                <w:sz w:val="14"/>
              </w:rPr>
              <w:t>Partial</w:t>
            </w:r>
          </w:p>
        </w:tc>
      </w:tr>
      <w:tr>
        <w:tc>
          <w:tcPr>
            <w:tcW w:type="dxa" w:w="1584"/>
            <w:vAlign w:val="center"/>
            <w:shd w:fill="F3F6F9"/>
          </w:tcPr>
          <w:p>
            <w:pPr>
              <w:spacing w:after="40"/>
            </w:pPr>
            <w:r>
              <w:rPr>
                <w:sz w:val="14"/>
              </w:rPr>
              <w:t>Customer dashboard</w:t>
            </w:r>
          </w:p>
        </w:tc>
        <w:tc>
          <w:tcPr>
            <w:tcW w:type="dxa" w:w="2232"/>
            <w:vAlign w:val="center"/>
            <w:shd w:fill="F3F6F9"/>
          </w:tcPr>
          <w:p>
            <w:pPr>
              <w:spacing w:after="40"/>
            </w:pPr>
            <w:r>
              <w:rPr>
                <w:sz w:val="14"/>
              </w:rPr>
              <w:t>React financial workspace</w:t>
            </w:r>
          </w:p>
        </w:tc>
        <w:tc>
          <w:tcPr>
            <w:tcW w:type="dxa" w:w="5472"/>
            <w:vAlign w:val="center"/>
            <w:shd w:fill="F3F6F9"/>
          </w:tcPr>
          <w:p>
            <w:pPr>
              <w:spacing w:after="40"/>
            </w:pPr>
            <w:r>
              <w:rPr>
                <w:sz w:val="14"/>
              </w:rPr>
              <w:t>Displays settlement steps, categories and readiness without inventing balance or payment outcomes.</w:t>
            </w:r>
          </w:p>
        </w:tc>
        <w:tc>
          <w:tcPr>
            <w:tcW w:type="dxa" w:w="1440"/>
            <w:vAlign w:val="center"/>
            <w:shd w:fill="F3F6F9"/>
          </w:tcPr>
          <w:p>
            <w:pPr>
              <w:spacing w:after="40"/>
            </w:pPr>
            <w:r>
              <w:rPr>
                <w:sz w:val="14"/>
              </w:rPr>
              <w:t>Completed as safe-mode UI</w:t>
            </w:r>
          </w:p>
        </w:tc>
      </w:tr>
      <w:tr>
        <w:tc>
          <w:tcPr>
            <w:tcW w:type="dxa" w:w="1584"/>
            <w:vAlign w:val="center"/>
          </w:tcPr>
          <w:p>
            <w:pPr>
              <w:spacing w:after="40"/>
            </w:pPr>
            <w:r>
              <w:rPr>
                <w:sz w:val="14"/>
              </w:rPr>
              <w:t>POS collection foundation</w:t>
            </w:r>
          </w:p>
        </w:tc>
        <w:tc>
          <w:tcPr>
            <w:tcW w:type="dxa" w:w="2232"/>
            <w:vAlign w:val="center"/>
          </w:tcPr>
          <w:p>
            <w:pPr>
              <w:spacing w:after="40"/>
            </w:pPr>
            <w:r>
              <w:rPr>
                <w:sz w:val="14"/>
              </w:rPr>
              <w:t>Paytm and PhonePe adapters, POS storage/controller</w:t>
            </w:r>
          </w:p>
        </w:tc>
        <w:tc>
          <w:tcPr>
            <w:tcW w:type="dxa" w:w="5472"/>
            <w:vAlign w:val="center"/>
          </w:tcPr>
          <w:p>
            <w:pPr>
              <w:spacing w:after="40"/>
            </w:pPr>
            <w:r>
              <w:rPr>
                <w:sz w:val="14"/>
              </w:rPr>
              <w:t>Implements provider-oriented request/status/webhook tracking foundations with gated provider readiness. No live provider success verified.</w:t>
            </w:r>
          </w:p>
        </w:tc>
        <w:tc>
          <w:tcPr>
            <w:tcW w:type="dxa" w:w="1440"/>
            <w:vAlign w:val="center"/>
          </w:tcPr>
          <w:p>
            <w:pPr>
              <w:spacing w:after="40"/>
            </w:pPr>
            <w:r>
              <w:rPr>
                <w:sz w:val="14"/>
              </w:rPr>
              <w:t>Partial</w:t>
            </w:r>
          </w:p>
        </w:tc>
      </w:tr>
      <w:tr>
        <w:tc>
          <w:tcPr>
            <w:tcW w:type="dxa" w:w="1584"/>
            <w:vAlign w:val="center"/>
            <w:shd w:fill="F3F6F9"/>
          </w:tcPr>
          <w:p>
            <w:pPr>
              <w:spacing w:after="40"/>
            </w:pPr>
            <w:r>
              <w:rPr>
                <w:sz w:val="14"/>
              </w:rPr>
              <w:t>Beneficiary records</w:t>
            </w:r>
          </w:p>
        </w:tc>
        <w:tc>
          <w:tcPr>
            <w:tcW w:type="dxa" w:w="2232"/>
            <w:vAlign w:val="center"/>
            <w:shd w:fill="F3F6F9"/>
          </w:tcPr>
          <w:p>
            <w:pPr>
              <w:spacing w:after="40"/>
            </w:pPr>
            <w:r>
              <w:rPr>
                <w:sz w:val="14"/>
              </w:rPr>
              <w:t>Financial beneficiary module and PostgreSQL migrations</w:t>
            </w:r>
          </w:p>
        </w:tc>
        <w:tc>
          <w:tcPr>
            <w:tcW w:type="dxa" w:w="5472"/>
            <w:vAlign w:val="center"/>
            <w:shd w:fill="F3F6F9"/>
          </w:tcPr>
          <w:p>
            <w:pPr>
              <w:spacing w:after="40"/>
            </w:pPr>
            <w:r>
              <w:rPr>
                <w:sz w:val="14"/>
              </w:rPr>
              <w:t>Merchant-scoped storage and encrypted bank details are described in audits; account verification/provider execution is not active.</w:t>
            </w:r>
          </w:p>
        </w:tc>
        <w:tc>
          <w:tcPr>
            <w:tcW w:type="dxa" w:w="1440"/>
            <w:vAlign w:val="center"/>
            <w:shd w:fill="F3F6F9"/>
          </w:tcPr>
          <w:p>
            <w:pPr>
              <w:spacing w:after="40"/>
            </w:pPr>
            <w:r>
              <w:rPr>
                <w:sz w:val="14"/>
              </w:rPr>
              <w:t>Partial</w:t>
            </w:r>
          </w:p>
        </w:tc>
      </w:tr>
      <w:tr>
        <w:tc>
          <w:tcPr>
            <w:tcW w:type="dxa" w:w="1584"/>
            <w:vAlign w:val="center"/>
          </w:tcPr>
          <w:p>
            <w:pPr>
              <w:spacing w:after="40"/>
            </w:pPr>
            <w:r>
              <w:rPr>
                <w:sz w:val="14"/>
              </w:rPr>
              <w:t>BBPS/recharge catalog</w:t>
            </w:r>
          </w:p>
        </w:tc>
        <w:tc>
          <w:tcPr>
            <w:tcW w:type="dxa" w:w="2232"/>
            <w:vAlign w:val="center"/>
          </w:tcPr>
          <w:p>
            <w:pPr>
              <w:spacing w:after="40"/>
            </w:pPr>
            <w:r>
              <w:rPr>
                <w:sz w:val="14"/>
              </w:rPr>
              <w:t>Eko provider adapter and service catalog</w:t>
            </w:r>
          </w:p>
        </w:tc>
        <w:tc>
          <w:tcPr>
            <w:tcW w:type="dxa" w:w="5472"/>
            <w:vAlign w:val="center"/>
          </w:tcPr>
          <w:p>
            <w:pPr>
              <w:spacing w:after="40"/>
            </w:pPr>
            <w:r>
              <w:rPr>
                <w:sz w:val="14"/>
              </w:rPr>
              <w:t>Environment and onboarding gates exist for catalog calls. Payment submission remains disabled pending confirmed service and funding authorization.</w:t>
            </w:r>
          </w:p>
        </w:tc>
        <w:tc>
          <w:tcPr>
            <w:tcW w:type="dxa" w:w="1440"/>
            <w:vAlign w:val="center"/>
          </w:tcPr>
          <w:p>
            <w:pPr>
              <w:spacing w:after="40"/>
            </w:pPr>
            <w:r>
              <w:rPr>
                <w:sz w:val="14"/>
              </w:rPr>
              <w:t>Partial</w:t>
            </w:r>
          </w:p>
        </w:tc>
      </w:tr>
      <w:tr>
        <w:tc>
          <w:tcPr>
            <w:tcW w:type="dxa" w:w="1584"/>
            <w:vAlign w:val="center"/>
            <w:shd w:fill="F3F6F9"/>
          </w:tcPr>
          <w:p>
            <w:pPr>
              <w:spacing w:after="40"/>
            </w:pPr>
            <w:r>
              <w:rPr>
                <w:sz w:val="14"/>
              </w:rPr>
              <w:t>Payout/transfer controls</w:t>
            </w:r>
          </w:p>
        </w:tc>
        <w:tc>
          <w:tcPr>
            <w:tcW w:type="dxa" w:w="2232"/>
            <w:vAlign w:val="center"/>
            <w:shd w:fill="F3F6F9"/>
          </w:tcPr>
          <w:p>
            <w:pPr>
              <w:spacing w:after="40"/>
            </w:pPr>
            <w:r>
              <w:rPr>
                <w:sz w:val="14"/>
              </w:rPr>
              <w:t>Financial operations, state/limit/expiry modules</w:t>
            </w:r>
          </w:p>
        </w:tc>
        <w:tc>
          <w:tcPr>
            <w:tcW w:type="dxa" w:w="5472"/>
            <w:vAlign w:val="center"/>
            <w:shd w:fill="F3F6F9"/>
          </w:tcPr>
          <w:p>
            <w:pPr>
              <w:spacing w:after="40"/>
            </w:pPr>
            <w:r>
              <w:rPr>
                <w:sz w:val="14"/>
              </w:rPr>
              <w:t>Domain rules, approvals and transfer controls exist; live payout execution and funding are unavailable.</w:t>
            </w:r>
          </w:p>
        </w:tc>
        <w:tc>
          <w:tcPr>
            <w:tcW w:type="dxa" w:w="1440"/>
            <w:vAlign w:val="center"/>
            <w:shd w:fill="F3F6F9"/>
          </w:tcPr>
          <w:p>
            <w:pPr>
              <w:spacing w:after="40"/>
            </w:pPr>
            <w:r>
              <w:rPr>
                <w:sz w:val="14"/>
              </w:rPr>
              <w:t>Partial</w:t>
            </w:r>
          </w:p>
        </w:tc>
      </w:tr>
      <w:tr>
        <w:tc>
          <w:tcPr>
            <w:tcW w:type="dxa" w:w="1584"/>
            <w:vAlign w:val="center"/>
          </w:tcPr>
          <w:p>
            <w:pPr>
              <w:spacing w:after="40"/>
            </w:pPr>
            <w:r>
              <w:rPr>
                <w:sz w:val="14"/>
              </w:rPr>
              <w:t>Admin console and admin flow</w:t>
            </w:r>
          </w:p>
        </w:tc>
        <w:tc>
          <w:tcPr>
            <w:tcW w:type="dxa" w:w="2232"/>
            <w:vAlign w:val="center"/>
          </w:tcPr>
          <w:p>
            <w:pPr>
              <w:spacing w:after="40"/>
            </w:pPr>
            <w:r>
              <w:rPr>
                <w:sz w:val="14"/>
              </w:rPr>
              <w:t>No verified route or admin interface</w:t>
            </w:r>
          </w:p>
        </w:tc>
        <w:tc>
          <w:tcPr>
            <w:tcW w:type="dxa" w:w="5472"/>
            <w:vAlign w:val="center"/>
          </w:tcPr>
          <w:p>
            <w:pPr>
              <w:spacing w:after="40"/>
            </w:pPr>
            <w:r>
              <w:rPr>
                <w:sz w:val="14"/>
              </w:rPr>
              <w:t>No admin UI or verified administration workflow appears in the route inventory.</w:t>
            </w:r>
          </w:p>
        </w:tc>
        <w:tc>
          <w:tcPr>
            <w:tcW w:type="dxa" w:w="1440"/>
            <w:vAlign w:val="center"/>
          </w:tcPr>
          <w:p>
            <w:pPr>
              <w:spacing w:after="40"/>
            </w:pPr>
            <w:r>
              <w:rPr>
                <w:sz w:val="14"/>
              </w:rPr>
              <w:t>Pending</w:t>
            </w:r>
          </w:p>
        </w:tc>
      </w:tr>
      <w:tr>
        <w:tc>
          <w:tcPr>
            <w:tcW w:type="dxa" w:w="1584"/>
            <w:vAlign w:val="center"/>
            <w:shd w:fill="F3F6F9"/>
          </w:tcPr>
          <w:p>
            <w:pPr>
              <w:spacing w:after="40"/>
            </w:pPr>
            <w:r>
              <w:rPr>
                <w:sz w:val="14"/>
              </w:rPr>
              <w:t>Live wallet and financial operations</w:t>
            </w:r>
          </w:p>
        </w:tc>
        <w:tc>
          <w:tcPr>
            <w:tcW w:type="dxa" w:w="2232"/>
            <w:vAlign w:val="center"/>
            <w:shd w:fill="F3F6F9"/>
          </w:tcPr>
          <w:p>
            <w:pPr>
              <w:spacing w:after="40"/>
            </w:pPr>
            <w:r>
              <w:rPr>
                <w:sz w:val="14"/>
              </w:rPr>
              <w:t>Financial APIs/provider interfaces</w:t>
            </w:r>
          </w:p>
        </w:tc>
        <w:tc>
          <w:tcPr>
            <w:tcW w:type="dxa" w:w="5472"/>
            <w:vAlign w:val="center"/>
            <w:shd w:fill="F3F6F9"/>
          </w:tcPr>
          <w:p>
            <w:pPr>
              <w:spacing w:after="40"/>
            </w:pPr>
            <w:r>
              <w:rPr>
                <w:sz w:val="14"/>
              </w:rPr>
              <w:t>Financial writes and money movement are fail-closed; POS settlement is not treated as spendable ReachPay balance.</w:t>
            </w:r>
          </w:p>
        </w:tc>
        <w:tc>
          <w:tcPr>
            <w:tcW w:type="dxa" w:w="1440"/>
            <w:vAlign w:val="center"/>
            <w:shd w:fill="F3F6F9"/>
          </w:tcPr>
          <w:p>
            <w:pPr>
              <w:spacing w:after="40"/>
            </w:pPr>
            <w:r>
              <w:rPr>
                <w:sz w:val="14"/>
              </w:rPr>
              <w:t>Pending</w:t>
            </w:r>
          </w:p>
        </w:tc>
      </w:tr>
    </w:tbl>
    <w:p>
      <w:pPr>
        <w:spacing w:after="20"/>
      </w:pPr>
    </w:p>
    <w:p>
      <w:pPr>
        <w:pStyle w:val="Heading1"/>
      </w:pPr>
      <w:r>
        <w:t>5. Integrations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3384"/>
        <w:gridCol w:w="5400"/>
      </w:tblGrid>
      <w:tr>
        <w:trPr>
          <w:tblHeader w:val="true"/>
        </w:trPr>
        <w:tc>
          <w:tcPr>
            <w:tcW w:type="dxa" w:w="3389"/>
            <w:shd w:fill="183B63"/>
            <w:vAlign w:val="center"/>
          </w:tcPr>
          <w:p>
            <w:r>
              <w:rPr>
                <w:b/>
                <w:color w:val="FFFFFF"/>
                <w:sz w:val="15"/>
              </w:rPr>
              <w:t>Service / integration</w:t>
            </w:r>
          </w:p>
        </w:tc>
        <w:tc>
          <w:tcPr>
            <w:tcW w:type="dxa" w:w="3389"/>
            <w:shd w:fill="183B63"/>
            <w:vAlign w:val="center"/>
          </w:tcPr>
          <w:p>
            <w:r>
              <w:rPr>
                <w:b/>
                <w:color w:val="FFFFFF"/>
                <w:sz w:val="15"/>
              </w:rPr>
              <w:t>Use in project</w:t>
            </w:r>
          </w:p>
        </w:tc>
        <w:tc>
          <w:tcPr>
            <w:tcW w:type="dxa" w:w="3389"/>
            <w:shd w:fill="183B63"/>
            <w:vAlign w:val="center"/>
          </w:tcPr>
          <w:p>
            <w:r>
              <w:rPr>
                <w:b/>
                <w:color w:val="FFFFFF"/>
                <w:sz w:val="15"/>
              </w:rPr>
              <w:t>Verified setup / current state</w:t>
            </w:r>
          </w:p>
        </w:tc>
      </w:tr>
      <w:tr>
        <w:tc>
          <w:tcPr>
            <w:tcW w:type="dxa" w:w="1944"/>
            <w:vAlign w:val="center"/>
          </w:tcPr>
          <w:p>
            <w:pPr>
              <w:spacing w:after="40"/>
            </w:pPr>
            <w:r>
              <w:rPr>
                <w:sz w:val="15"/>
              </w:rPr>
              <w:t>Vercel</w:t>
            </w:r>
          </w:p>
        </w:tc>
        <w:tc>
          <w:tcPr>
            <w:tcW w:type="dxa" w:w="3384"/>
            <w:vAlign w:val="center"/>
          </w:tcPr>
          <w:p>
            <w:pPr>
              <w:spacing w:after="40"/>
            </w:pPr>
            <w:r>
              <w:rPr>
                <w:sz w:val="15"/>
              </w:rPr>
              <w:t>Static frontend output and serverless endpoints via vercel.json.</w:t>
            </w:r>
          </w:p>
        </w:tc>
        <w:tc>
          <w:tcPr>
            <w:tcW w:type="dxa" w:w="5400"/>
            <w:vAlign w:val="center"/>
          </w:tcPr>
          <w:p>
            <w:pPr>
              <w:spacing w:after="40"/>
            </w:pPr>
            <w:r>
              <w:rPr>
                <w:sz w:val="15"/>
              </w:rPr>
              <w:t>Configuration exists. Production project, deployment URL and domain: To be confirmed.</w:t>
            </w:r>
          </w:p>
        </w:tc>
      </w:tr>
      <w:tr>
        <w:tc>
          <w:tcPr>
            <w:tcW w:type="dxa" w:w="1944"/>
            <w:vAlign w:val="center"/>
            <w:shd w:fill="F3F6F9"/>
          </w:tcPr>
          <w:p>
            <w:pPr>
              <w:spacing w:after="40"/>
            </w:pPr>
            <w:r>
              <w:rPr>
                <w:sz w:val="15"/>
              </w:rPr>
              <w:t>Resend</w:t>
            </w:r>
          </w:p>
        </w:tc>
        <w:tc>
          <w:tcPr>
            <w:tcW w:type="dxa" w:w="3384"/>
            <w:vAlign w:val="center"/>
            <w:shd w:fill="F3F6F9"/>
          </w:tcPr>
          <w:p>
            <w:pPr>
              <w:spacing w:after="40"/>
            </w:pPr>
            <w:r>
              <w:rPr>
                <w:sz w:val="15"/>
              </w:rPr>
              <w:t>Contact, career and newsletter-interest email delivery.</w:t>
            </w:r>
          </w:p>
        </w:tc>
        <w:tc>
          <w:tcPr>
            <w:tcW w:type="dxa" w:w="5400"/>
            <w:vAlign w:val="center"/>
            <w:shd w:fill="F3F6F9"/>
          </w:tcPr>
          <w:p>
            <w:pPr>
              <w:spacing w:after="40"/>
            </w:pPr>
            <w:r>
              <w:rPr>
                <w:sz w:val="15"/>
              </w:rPr>
              <w:t>Server environment variables documented; live account and delivery test: To be confirmed.</w:t>
            </w:r>
          </w:p>
        </w:tc>
      </w:tr>
      <w:tr>
        <w:tc>
          <w:tcPr>
            <w:tcW w:type="dxa" w:w="1944"/>
            <w:vAlign w:val="center"/>
          </w:tcPr>
          <w:p>
            <w:pPr>
              <w:spacing w:after="40"/>
            </w:pPr>
            <w:r>
              <w:rPr>
                <w:sz w:val="15"/>
              </w:rPr>
              <w:t>Upstash Redis</w:t>
            </w:r>
          </w:p>
        </w:tc>
        <w:tc>
          <w:tcPr>
            <w:tcW w:type="dxa" w:w="3384"/>
            <w:vAlign w:val="center"/>
          </w:tcPr>
          <w:p>
            <w:pPr>
              <w:spacing w:after="40"/>
            </w:pPr>
            <w:r>
              <w:rPr>
                <w:sz w:val="15"/>
              </w:rPr>
              <w:t>Shared atomic production contact-form rate limit.</w:t>
            </w:r>
          </w:p>
        </w:tc>
        <w:tc>
          <w:tcPr>
            <w:tcW w:type="dxa" w:w="5400"/>
            <w:vAlign w:val="center"/>
          </w:tcPr>
          <w:p>
            <w:pPr>
              <w:spacing w:after="40"/>
            </w:pPr>
            <w:r>
              <w:rPr>
                <w:sz w:val="15"/>
              </w:rPr>
              <w:t>Production configuration is required by docs; credentials and live state: To be confirmed.</w:t>
            </w:r>
          </w:p>
        </w:tc>
      </w:tr>
      <w:tr>
        <w:tc>
          <w:tcPr>
            <w:tcW w:type="dxa" w:w="1944"/>
            <w:vAlign w:val="center"/>
            <w:shd w:fill="F3F6F9"/>
          </w:tcPr>
          <w:p>
            <w:pPr>
              <w:spacing w:after="40"/>
            </w:pPr>
            <w:r>
              <w:rPr>
                <w:sz w:val="15"/>
              </w:rPr>
              <w:t>SMTP</w:t>
            </w:r>
          </w:p>
        </w:tc>
        <w:tc>
          <w:tcPr>
            <w:tcW w:type="dxa" w:w="3384"/>
            <w:vAlign w:val="center"/>
            <w:shd w:fill="F3F6F9"/>
          </w:tcPr>
          <w:p>
            <w:pPr>
              <w:spacing w:after="40"/>
            </w:pPr>
            <w:r>
              <w:rPr>
                <w:sz w:val="15"/>
              </w:rPr>
              <w:t>Email OTP delivery for customer verification.</w:t>
            </w:r>
          </w:p>
        </w:tc>
        <w:tc>
          <w:tcPr>
            <w:tcW w:type="dxa" w:w="5400"/>
            <w:vAlign w:val="center"/>
            <w:shd w:fill="F3F6F9"/>
          </w:tcPr>
          <w:p>
            <w:pPr>
              <w:spacing w:after="40"/>
            </w:pPr>
            <w:r>
              <w:rPr>
                <w:sz w:val="15"/>
              </w:rPr>
              <w:t>Configuration documented; working production sender: To be confirmed.</w:t>
            </w:r>
          </w:p>
        </w:tc>
      </w:tr>
      <w:tr>
        <w:tc>
          <w:tcPr>
            <w:tcW w:type="dxa" w:w="1944"/>
            <w:vAlign w:val="center"/>
          </w:tcPr>
          <w:p>
            <w:pPr>
              <w:spacing w:after="40"/>
            </w:pPr>
            <w:r>
              <w:rPr>
                <w:sz w:val="15"/>
              </w:rPr>
              <w:t>Twilio Verify</w:t>
            </w:r>
          </w:p>
        </w:tc>
        <w:tc>
          <w:tcPr>
            <w:tcW w:type="dxa" w:w="3384"/>
            <w:vAlign w:val="center"/>
          </w:tcPr>
          <w:p>
            <w:pPr>
              <w:spacing w:after="40"/>
            </w:pPr>
            <w:r>
              <w:rPr>
                <w:sz w:val="15"/>
              </w:rPr>
              <w:t>Mobile OTP verification.</w:t>
            </w:r>
          </w:p>
        </w:tc>
        <w:tc>
          <w:tcPr>
            <w:tcW w:type="dxa" w:w="5400"/>
            <w:vAlign w:val="center"/>
          </w:tcPr>
          <w:p>
            <w:pPr>
              <w:spacing w:after="40"/>
            </w:pPr>
            <w:r>
              <w:rPr>
                <w:sz w:val="15"/>
              </w:rPr>
              <w:t>Adapter exists; service credentials and live verification: To be confirmed.</w:t>
            </w:r>
          </w:p>
        </w:tc>
      </w:tr>
      <w:tr>
        <w:tc>
          <w:tcPr>
            <w:tcW w:type="dxa" w:w="1944"/>
            <w:vAlign w:val="center"/>
            <w:shd w:fill="F3F6F9"/>
          </w:tcPr>
          <w:p>
            <w:pPr>
              <w:spacing w:after="40"/>
            </w:pPr>
            <w:r>
              <w:rPr>
                <w:sz w:val="15"/>
              </w:rPr>
              <w:t>Paytm POS</w:t>
            </w:r>
          </w:p>
        </w:tc>
        <w:tc>
          <w:tcPr>
            <w:tcW w:type="dxa" w:w="3384"/>
            <w:vAlign w:val="center"/>
            <w:shd w:fill="F3F6F9"/>
          </w:tcPr>
          <w:p>
            <w:pPr>
              <w:spacing w:after="40"/>
            </w:pPr>
            <w:r>
              <w:rPr>
                <w:sz w:val="15"/>
              </w:rPr>
              <w:t>POS request/status/webhook/settlement foundations.</w:t>
            </w:r>
          </w:p>
        </w:tc>
        <w:tc>
          <w:tcPr>
            <w:tcW w:type="dxa" w:w="5400"/>
            <w:vAlign w:val="center"/>
            <w:shd w:fill="F3F6F9"/>
          </w:tcPr>
          <w:p>
            <w:pPr>
              <w:spacing w:after="40"/>
            </w:pPr>
            <w:r>
              <w:rPr>
                <w:sz w:val="15"/>
              </w:rPr>
              <w:t>Merchant-specific credentials, terminal authorization and live behavior not verified.</w:t>
            </w:r>
          </w:p>
        </w:tc>
      </w:tr>
      <w:tr>
        <w:tc>
          <w:tcPr>
            <w:tcW w:type="dxa" w:w="1944"/>
            <w:vAlign w:val="center"/>
          </w:tcPr>
          <w:p>
            <w:pPr>
              <w:spacing w:after="40"/>
            </w:pPr>
            <w:r>
              <w:rPr>
                <w:sz w:val="15"/>
              </w:rPr>
              <w:t>PhonePe Integrated EDC</w:t>
            </w:r>
          </w:p>
        </w:tc>
        <w:tc>
          <w:tcPr>
            <w:tcW w:type="dxa" w:w="3384"/>
            <w:vAlign w:val="center"/>
          </w:tcPr>
          <w:p>
            <w:pPr>
              <w:spacing w:after="40"/>
            </w:pPr>
            <w:r>
              <w:rPr>
                <w:sz w:val="15"/>
              </w:rPr>
              <w:t>Gated POS adapter.</w:t>
            </w:r>
          </w:p>
        </w:tc>
        <w:tc>
          <w:tcPr>
            <w:tcW w:type="dxa" w:w="5400"/>
            <w:vAlign w:val="center"/>
          </w:tcPr>
          <w:p>
            <w:pPr>
              <w:spacing w:after="40"/>
            </w:pPr>
            <w:r>
              <w:rPr>
                <w:sz w:val="15"/>
              </w:rPr>
              <w:t>Private contract, partner approval and test access required; no executable contract is verified.</w:t>
            </w:r>
          </w:p>
        </w:tc>
      </w:tr>
      <w:tr>
        <w:tc>
          <w:tcPr>
            <w:tcW w:type="dxa" w:w="1944"/>
            <w:vAlign w:val="center"/>
            <w:shd w:fill="F3F6F9"/>
          </w:tcPr>
          <w:p>
            <w:pPr>
              <w:spacing w:after="40"/>
            </w:pPr>
            <w:r>
              <w:rPr>
                <w:sz w:val="15"/>
              </w:rPr>
              <w:t>Eko</w:t>
            </w:r>
          </w:p>
        </w:tc>
        <w:tc>
          <w:tcPr>
            <w:tcW w:type="dxa" w:w="3384"/>
            <w:vAlign w:val="center"/>
            <w:shd w:fill="F3F6F9"/>
          </w:tcPr>
          <w:p>
            <w:pPr>
              <w:spacing w:after="40"/>
            </w:pPr>
            <w:r>
              <w:rPr>
                <w:sz w:val="15"/>
              </w:rPr>
              <w:t>BBPS/recharge catalog and service adapter.</w:t>
            </w:r>
          </w:p>
        </w:tc>
        <w:tc>
          <w:tcPr>
            <w:tcW w:type="dxa" w:w="5400"/>
            <w:vAlign w:val="center"/>
            <w:shd w:fill="F3F6F9"/>
          </w:tcPr>
          <w:p>
            <w:pPr>
              <w:spacing w:after="40"/>
            </w:pPr>
            <w:r>
              <w:rPr>
                <w:sz w:val="15"/>
              </w:rPr>
              <w:t>Environment-specific configuration and onboarding/activation gates exist; provider access and allowed funding are To be confirmed.</w:t>
            </w:r>
          </w:p>
        </w:tc>
      </w:tr>
      <w:tr>
        <w:tc>
          <w:tcPr>
            <w:tcW w:type="dxa" w:w="1944"/>
            <w:vAlign w:val="center"/>
          </w:tcPr>
          <w:p>
            <w:pPr>
              <w:spacing w:after="40"/>
            </w:pPr>
            <w:r>
              <w:rPr>
                <w:sz w:val="15"/>
              </w:rPr>
              <w:t>PostgreSQL</w:t>
            </w:r>
          </w:p>
        </w:tc>
        <w:tc>
          <w:tcPr>
            <w:tcW w:type="dxa" w:w="3384"/>
            <w:vAlign w:val="center"/>
          </w:tcPr>
          <w:p>
            <w:pPr>
              <w:spacing w:after="40"/>
            </w:pPr>
            <w:r>
              <w:rPr>
                <w:sz w:val="15"/>
              </w:rPr>
              <w:t>Customer auth and financial persistence.</w:t>
            </w:r>
          </w:p>
        </w:tc>
        <w:tc>
          <w:tcPr>
            <w:tcW w:type="dxa" w:w="5400"/>
            <w:vAlign w:val="center"/>
          </w:tcPr>
          <w:p>
            <w:pPr>
              <w:spacing w:after="40"/>
            </w:pPr>
            <w:r>
              <w:rPr>
                <w:sz w:val="15"/>
              </w:rPr>
              <w:t>Migrations and database code exist. Latest recorded audit reports unavailable DB connectivity; production setup: To be confirmed.</w:t>
            </w:r>
          </w:p>
        </w:tc>
      </w:tr>
    </w:tbl>
    <w:p>
      <w:pPr>
        <w:spacing w:after="20"/>
      </w:pPr>
    </w:p>
    <w:p>
      <w:pPr>
        <w:pStyle w:val="Heading1"/>
      </w:pPr>
      <w:r>
        <w:t>6. Completed Work</w:t>
      </w:r>
    </w:p>
    <w:p>
      <w:pPr>
        <w:pStyle w:val="ListBullet"/>
        <w:spacing w:after="40"/>
      </w:pPr>
      <w:r>
        <w:t>☑ Unified the public site, customer auth pages and portal in one React/Vite project.</w:t>
      </w:r>
    </w:p>
    <w:p>
      <w:pPr>
        <w:pStyle w:val="ListBullet"/>
        <w:spacing w:after="40"/>
      </w:pPr>
      <w:r>
        <w:t>☑ Implemented customer signup, email/mobile verification, login and protected dashboard routing.</w:t>
      </w:r>
    </w:p>
    <w:p>
      <w:pPr>
        <w:pStyle w:val="ListBullet"/>
        <w:spacing w:after="40"/>
      </w:pPr>
      <w:r>
        <w:t>☑ Built public contact, careers and newsletter-interest forms with validation and abuse-control checks.</w:t>
      </w:r>
    </w:p>
    <w:p>
      <w:pPr>
        <w:pStyle w:val="ListBullet"/>
        <w:spacing w:after="40"/>
      </w:pPr>
      <w:r>
        <w:t>☑ Added local Node API and Vercel endpoint/configuration paths.</w:t>
      </w:r>
    </w:p>
    <w:p>
      <w:pPr>
        <w:pStyle w:val="ListBullet"/>
        <w:spacing w:after="40"/>
      </w:pPr>
      <w:r>
        <w:t>☑ Added safe-mode customer dashboard and fail-closed financial API behavior.</w:t>
      </w:r>
    </w:p>
    <w:p>
      <w:pPr>
        <w:pStyle w:val="ListBullet"/>
        <w:spacing w:after="40"/>
      </w:pPr>
      <w:r>
        <w:t>☑ Added financial domain foundations including money/state rules, POS adapters, beneficiary and service/transfer modules, migrations and tests.</w:t>
      </w:r>
    </w:p>
    <w:p>
      <w:pPr>
        <w:pStyle w:val="ListBullet"/>
        <w:spacing w:after="40"/>
      </w:pPr>
      <w:r>
        <w:t>☑ Project audit dated 12 October 2026 records 102 tests passing, lint passing and build passing at commit 9ab584bf66447ab7b5ce8cdcdca623276d055df6. These are historical results, not verification of current uncommitted files.</w:t>
      </w:r>
    </w:p>
    <w:p>
      <w:pPr>
        <w:pStyle w:val="Heading1"/>
      </w:pPr>
      <w:r>
        <w:t>7. Pending / Incomplete Work</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4032"/>
        <w:gridCol w:w="4608"/>
      </w:tblGrid>
      <w:tr>
        <w:trPr>
          <w:tblHeader w:val="true"/>
        </w:trPr>
        <w:tc>
          <w:tcPr>
            <w:tcW w:type="dxa" w:w="3389"/>
            <w:shd w:fill="183B63"/>
            <w:vAlign w:val="center"/>
          </w:tcPr>
          <w:p>
            <w:r>
              <w:rPr>
                <w:b/>
                <w:color w:val="FFFFFF"/>
                <w:sz w:val="14"/>
              </w:rPr>
              <w:t>Missing item</w:t>
            </w:r>
          </w:p>
        </w:tc>
        <w:tc>
          <w:tcPr>
            <w:tcW w:type="dxa" w:w="3389"/>
            <w:shd w:fill="183B63"/>
            <w:vAlign w:val="center"/>
          </w:tcPr>
          <w:p>
            <w:r>
              <w:rPr>
                <w:b/>
                <w:color w:val="FFFFFF"/>
                <w:sz w:val="14"/>
              </w:rPr>
              <w:t>Why pending / evidence</w:t>
            </w:r>
          </w:p>
        </w:tc>
        <w:tc>
          <w:tcPr>
            <w:tcW w:type="dxa" w:w="3389"/>
            <w:shd w:fill="183B63"/>
            <w:vAlign w:val="center"/>
          </w:tcPr>
          <w:p>
            <w:r>
              <w:rPr>
                <w:b/>
                <w:color w:val="FFFFFF"/>
                <w:sz w:val="14"/>
              </w:rPr>
              <w:t>Suggested next step</w:t>
            </w:r>
          </w:p>
        </w:tc>
      </w:tr>
      <w:tr>
        <w:tc>
          <w:tcPr>
            <w:tcW w:type="dxa" w:w="2160"/>
            <w:vAlign w:val="center"/>
          </w:tcPr>
          <w:p>
            <w:pPr>
              <w:spacing w:after="40"/>
            </w:pPr>
            <w:r>
              <w:rPr>
                <w:sz w:val="14"/>
              </w:rPr>
              <w:t>Approved company/product facts and legal copy</w:t>
            </w:r>
          </w:p>
        </w:tc>
        <w:tc>
          <w:tcPr>
            <w:tcW w:type="dxa" w:w="4032"/>
            <w:vAlign w:val="center"/>
          </w:tcPr>
          <w:p>
            <w:pPr>
              <w:spacing w:after="40"/>
            </w:pPr>
            <w:r>
              <w:rPr>
                <w:sz w:val="14"/>
              </w:rPr>
              <w:t>Company identity, licensing, supported geographies, leadership, customer proof, privacy and terms need approval.</w:t>
            </w:r>
          </w:p>
        </w:tc>
        <w:tc>
          <w:tcPr>
            <w:tcW w:type="dxa" w:w="4608"/>
            <w:vAlign w:val="center"/>
          </w:tcPr>
          <w:p>
            <w:pPr>
              <w:spacing w:after="40"/>
            </w:pPr>
            <w:r>
              <w:rPr>
                <w:sz w:val="14"/>
              </w:rPr>
              <w:t>Obtain approved source content and legal review, then update site content and legal pages.</w:t>
            </w:r>
          </w:p>
        </w:tc>
      </w:tr>
      <w:tr>
        <w:tc>
          <w:tcPr>
            <w:tcW w:type="dxa" w:w="2160"/>
            <w:vAlign w:val="center"/>
            <w:shd w:fill="F3F6F9"/>
          </w:tcPr>
          <w:p>
            <w:pPr>
              <w:spacing w:after="40"/>
            </w:pPr>
            <w:r>
              <w:rPr>
                <w:sz w:val="14"/>
              </w:rPr>
              <w:t>Production domain and deployment proof</w:t>
            </w:r>
          </w:p>
        </w:tc>
        <w:tc>
          <w:tcPr>
            <w:tcW w:type="dxa" w:w="4032"/>
            <w:vAlign w:val="center"/>
            <w:shd w:fill="F3F6F9"/>
          </w:tcPr>
          <w:p>
            <w:pPr>
              <w:spacing w:after="40"/>
            </w:pPr>
            <w:r>
              <w:rPr>
                <w:sz w:val="14"/>
              </w:rPr>
              <w:t>Vercel config exists; deployment and exact domain are not confirmed.</w:t>
            </w:r>
          </w:p>
        </w:tc>
        <w:tc>
          <w:tcPr>
            <w:tcW w:type="dxa" w:w="4608"/>
            <w:vAlign w:val="center"/>
            <w:shd w:fill="F3F6F9"/>
          </w:tcPr>
          <w:p>
            <w:pPr>
              <w:spacing w:after="40"/>
            </w:pPr>
            <w:r>
              <w:rPr>
                <w:sz w:val="14"/>
              </w:rPr>
              <w:t>Confirm target project/domain and set PUBLIC_SITE_URL, then validate deployed routes and headers.</w:t>
            </w:r>
          </w:p>
        </w:tc>
      </w:tr>
      <w:tr>
        <w:tc>
          <w:tcPr>
            <w:tcW w:type="dxa" w:w="2160"/>
            <w:vAlign w:val="center"/>
          </w:tcPr>
          <w:p>
            <w:pPr>
              <w:spacing w:after="40"/>
            </w:pPr>
            <w:r>
              <w:rPr>
                <w:sz w:val="14"/>
              </w:rPr>
              <w:t>Contact email and rate-limit production setup</w:t>
            </w:r>
          </w:p>
        </w:tc>
        <w:tc>
          <w:tcPr>
            <w:tcW w:type="dxa" w:w="4032"/>
            <w:vAlign w:val="center"/>
          </w:tcPr>
          <w:p>
            <w:pPr>
              <w:spacing w:after="40"/>
            </w:pPr>
            <w:r>
              <w:rPr>
                <w:sz w:val="14"/>
              </w:rPr>
              <w:t>Resend and Upstash variables are documented but live setup is unverified.</w:t>
            </w:r>
          </w:p>
        </w:tc>
        <w:tc>
          <w:tcPr>
            <w:tcW w:type="dxa" w:w="4608"/>
            <w:vAlign w:val="center"/>
          </w:tcPr>
          <w:p>
            <w:pPr>
              <w:spacing w:after="40"/>
            </w:pPr>
            <w:r>
              <w:rPr>
                <w:sz w:val="14"/>
              </w:rPr>
              <w:t>Configure verified sender, monitored inbox and shared limiter; run provider-backed form checks.</w:t>
            </w:r>
          </w:p>
        </w:tc>
      </w:tr>
      <w:tr>
        <w:tc>
          <w:tcPr>
            <w:tcW w:type="dxa" w:w="2160"/>
            <w:vAlign w:val="center"/>
            <w:shd w:fill="F3F6F9"/>
          </w:tcPr>
          <w:p>
            <w:pPr>
              <w:spacing w:after="40"/>
            </w:pPr>
            <w:r>
              <w:rPr>
                <w:sz w:val="14"/>
              </w:rPr>
              <w:t>Production customer auth</w:t>
            </w:r>
          </w:p>
        </w:tc>
        <w:tc>
          <w:tcPr>
            <w:tcW w:type="dxa" w:w="4032"/>
            <w:vAlign w:val="center"/>
            <w:shd w:fill="F3F6F9"/>
          </w:tcPr>
          <w:p>
            <w:pPr>
              <w:spacing w:after="40"/>
            </w:pPr>
            <w:r>
              <w:rPr>
                <w:sz w:val="14"/>
              </w:rPr>
              <w:t>PostgreSQL, SMTP, Twilio credentials and secret management need confirmation.</w:t>
            </w:r>
          </w:p>
        </w:tc>
        <w:tc>
          <w:tcPr>
            <w:tcW w:type="dxa" w:w="4608"/>
            <w:vAlign w:val="center"/>
            <w:shd w:fill="F3F6F9"/>
          </w:tcPr>
          <w:p>
            <w:pPr>
              <w:spacing w:after="40"/>
            </w:pPr>
            <w:r>
              <w:rPr>
                <w:sz w:val="14"/>
              </w:rPr>
              <w:t>Provision DB and services, apply migrations, test OTP/session flows and operational controls.</w:t>
            </w:r>
          </w:p>
        </w:tc>
      </w:tr>
      <w:tr>
        <w:tc>
          <w:tcPr>
            <w:tcW w:type="dxa" w:w="2160"/>
            <w:vAlign w:val="center"/>
          </w:tcPr>
          <w:p>
            <w:pPr>
              <w:spacing w:after="40"/>
            </w:pPr>
            <w:r>
              <w:rPr>
                <w:sz w:val="14"/>
              </w:rPr>
              <w:t>POS provider activation</w:t>
            </w:r>
          </w:p>
        </w:tc>
        <w:tc>
          <w:tcPr>
            <w:tcW w:type="dxa" w:w="4032"/>
            <w:vAlign w:val="center"/>
          </w:tcPr>
          <w:p>
            <w:pPr>
              <w:spacing w:after="40"/>
            </w:pPr>
            <w:r>
              <w:rPr>
                <w:sz w:val="14"/>
              </w:rPr>
              <w:t>Paytm merchant approval/credentials and PhonePe private contract/access are missing or unverified.</w:t>
            </w:r>
          </w:p>
        </w:tc>
        <w:tc>
          <w:tcPr>
            <w:tcW w:type="dxa" w:w="4608"/>
            <w:vAlign w:val="center"/>
          </w:tcPr>
          <w:p>
            <w:pPr>
              <w:spacing w:after="40"/>
            </w:pPr>
            <w:r>
              <w:rPr>
                <w:sz w:val="14"/>
              </w:rPr>
              <w:t>Complete provider onboarding and UAT; verify callbacks, settlement and reconciliation requirements.</w:t>
            </w:r>
          </w:p>
        </w:tc>
      </w:tr>
      <w:tr>
        <w:tc>
          <w:tcPr>
            <w:tcW w:type="dxa" w:w="2160"/>
            <w:vAlign w:val="center"/>
            <w:shd w:fill="F3F6F9"/>
          </w:tcPr>
          <w:p>
            <w:pPr>
              <w:spacing w:after="40"/>
            </w:pPr>
            <w:r>
              <w:rPr>
                <w:sz w:val="14"/>
              </w:rPr>
              <w:t>Authorized funding and payout/BBPS execution</w:t>
            </w:r>
          </w:p>
        </w:tc>
        <w:tc>
          <w:tcPr>
            <w:tcW w:type="dxa" w:w="4032"/>
            <w:vAlign w:val="center"/>
            <w:shd w:fill="F3F6F9"/>
          </w:tcPr>
          <w:p>
            <w:pPr>
              <w:spacing w:after="40"/>
            </w:pPr>
            <w:r>
              <w:rPr>
                <w:sz w:val="14"/>
              </w:rPr>
              <w:t>No verified right to use POS collection funds for payouts or BBPS; payment submission remains disabled.</w:t>
            </w:r>
          </w:p>
        </w:tc>
        <w:tc>
          <w:tcPr>
            <w:tcW w:type="dxa" w:w="4608"/>
            <w:vAlign w:val="center"/>
            <w:shd w:fill="F3F6F9"/>
          </w:tcPr>
          <w:p>
            <w:pPr>
              <w:spacing w:after="40"/>
            </w:pPr>
            <w:r>
              <w:rPr>
                <w:sz w:val="14"/>
              </w:rPr>
              <w:t>Obtain written funding/provider approvals, implement ledger and transactional repositories, then test sandbox flows.</w:t>
            </w:r>
          </w:p>
        </w:tc>
      </w:tr>
      <w:tr>
        <w:tc>
          <w:tcPr>
            <w:tcW w:type="dxa" w:w="2160"/>
            <w:vAlign w:val="center"/>
          </w:tcPr>
          <w:p>
            <w:pPr>
              <w:spacing w:after="40"/>
            </w:pPr>
            <w:r>
              <w:rPr>
                <w:sz w:val="14"/>
              </w:rPr>
              <w:t>Admin access and operations</w:t>
            </w:r>
          </w:p>
        </w:tc>
        <w:tc>
          <w:tcPr>
            <w:tcW w:type="dxa" w:w="4032"/>
            <w:vAlign w:val="center"/>
          </w:tcPr>
          <w:p>
            <w:pPr>
              <w:spacing w:after="40"/>
            </w:pPr>
            <w:r>
              <w:rPr>
                <w:sz w:val="14"/>
              </w:rPr>
              <w:t>No admin UI or admin workflow is verified.</w:t>
            </w:r>
          </w:p>
        </w:tc>
        <w:tc>
          <w:tcPr>
            <w:tcW w:type="dxa" w:w="4608"/>
            <w:vAlign w:val="center"/>
          </w:tcPr>
          <w:p>
            <w:pPr>
              <w:spacing w:after="40"/>
            </w:pPr>
            <w:r>
              <w:rPr>
                <w:sz w:val="14"/>
              </w:rPr>
              <w:t>Define admin roles, permissions, audit requirements and operator tasks before implementation.</w:t>
            </w:r>
          </w:p>
        </w:tc>
      </w:tr>
      <w:tr>
        <w:tc>
          <w:tcPr>
            <w:tcW w:type="dxa" w:w="2160"/>
            <w:vAlign w:val="center"/>
            <w:shd w:fill="F3F6F9"/>
          </w:tcPr>
          <w:p>
            <w:pPr>
              <w:spacing w:after="40"/>
            </w:pPr>
            <w:r>
              <w:rPr>
                <w:sz w:val="14"/>
              </w:rPr>
              <w:t>Production operations assurance</w:t>
            </w:r>
          </w:p>
        </w:tc>
        <w:tc>
          <w:tcPr>
            <w:tcW w:type="dxa" w:w="4032"/>
            <w:vAlign w:val="center"/>
            <w:shd w:fill="F3F6F9"/>
          </w:tcPr>
          <w:p>
            <w:pPr>
              <w:spacing w:after="40"/>
            </w:pPr>
            <w:r>
              <w:rPr>
                <w:sz w:val="14"/>
              </w:rPr>
              <w:t>Database, backup, monitoring, recovery, security and accessibility reviews are incomplete or unverified.</w:t>
            </w:r>
          </w:p>
        </w:tc>
        <w:tc>
          <w:tcPr>
            <w:tcW w:type="dxa" w:w="4608"/>
            <w:vAlign w:val="center"/>
            <w:shd w:fill="F3F6F9"/>
          </w:tcPr>
          <w:p>
            <w:pPr>
              <w:spacing w:after="40"/>
            </w:pPr>
            <w:r>
              <w:rPr>
                <w:sz w:val="14"/>
              </w:rPr>
              <w:t>Complete launch checklist with owners, evidence and sign-off for each control.</w:t>
            </w:r>
          </w:p>
        </w:tc>
      </w:tr>
      <w:tr>
        <w:tc>
          <w:tcPr>
            <w:tcW w:type="dxa" w:w="2160"/>
            <w:vAlign w:val="center"/>
          </w:tcPr>
          <w:p>
            <w:pPr>
              <w:spacing w:after="40"/>
            </w:pPr>
            <w:r>
              <w:rPr>
                <w:sz w:val="14"/>
              </w:rPr>
              <w:t>Current working-tree review</w:t>
            </w:r>
          </w:p>
        </w:tc>
        <w:tc>
          <w:tcPr>
            <w:tcW w:type="dxa" w:w="4032"/>
            <w:vAlign w:val="center"/>
          </w:tcPr>
          <w:p>
            <w:pPr>
              <w:spacing w:after="40"/>
            </w:pPr>
            <w:r>
              <w:rPr>
                <w:sz w:val="14"/>
              </w:rPr>
              <w:t>Several files are modified in the workspace; dated audit results predate these changes.</w:t>
            </w:r>
          </w:p>
        </w:tc>
        <w:tc>
          <w:tcPr>
            <w:tcW w:type="dxa" w:w="4608"/>
            <w:vAlign w:val="center"/>
          </w:tcPr>
          <w:p>
            <w:pPr>
              <w:spacing w:after="40"/>
            </w:pPr>
            <w:r>
              <w:rPr>
                <w:sz w:val="14"/>
              </w:rPr>
              <w:t>Review and test current changes before treating prior test/build evidence as current.</w:t>
            </w:r>
          </w:p>
        </w:tc>
      </w:tr>
    </w:tbl>
    <w:p>
      <w:pPr>
        <w:spacing w:after="20"/>
      </w:pPr>
    </w:p>
    <w:p>
      <w:pPr>
        <w:pStyle w:val="Heading1"/>
      </w:pPr>
      <w:r>
        <w:t>8. Known Issues &amp; Limitations</w:t>
      </w:r>
    </w:p>
    <w:p>
      <w:pPr>
        <w:pStyle w:val="ListBullet"/>
        <w:spacing w:after="40"/>
      </w:pPr>
      <w:r>
        <w:t>Live money movement is disabled. Financial service routes fail closed when required implementations are not configured.</w:t>
      </w:r>
    </w:p>
    <w:p>
      <w:pPr>
        <w:pStyle w:val="ListBullet"/>
        <w:spacing w:after="40"/>
      </w:pPr>
      <w:r>
        <w:t>No verified spendable wallet balance exists; POS payment success or settlement evidence does not create one.</w:t>
      </w:r>
    </w:p>
    <w:p>
      <w:pPr>
        <w:pStyle w:val="ListBullet"/>
        <w:spacing w:after="40"/>
      </w:pPr>
      <w:r>
        <w:t>Provider adapters and configuration flags do not prove provider authorization, contract validity or successful production transactions.</w:t>
      </w:r>
    </w:p>
    <w:p>
      <w:pPr>
        <w:pStyle w:val="ListBullet"/>
        <w:spacing w:after="40"/>
      </w:pPr>
      <w:r>
        <w:t>Newsletter interest does not create a mailing-list subscription, confirmation or unsubscribe flow.</w:t>
      </w:r>
    </w:p>
    <w:p>
      <w:pPr>
        <w:pStyle w:val="ListBullet"/>
        <w:spacing w:after="40"/>
      </w:pPr>
      <w:r>
        <w:t>Privacy and Terms are scaffolds awaiting legal review; some company and product content remains unapproved or unverified.</w:t>
      </w:r>
    </w:p>
    <w:p>
      <w:pPr>
        <w:pStyle w:val="ListBullet"/>
        <w:spacing w:after="40"/>
      </w:pPr>
      <w:r>
        <w:t>Production database connectivity, migrations and backup/restore are not confirmed by the latest dated audit.</w:t>
      </w:r>
    </w:p>
    <w:p>
      <w:pPr>
        <w:pStyle w:val="ListBullet"/>
        <w:spacing w:after="40"/>
      </w:pPr>
      <w:r>
        <w:t>No admin console or documented admin flow is visible in the route inventory.</w:t>
      </w:r>
    </w:p>
    <w:p>
      <w:pPr>
        <w:pStyle w:val="ListBullet"/>
        <w:spacing w:after="40"/>
      </w:pPr>
      <w:r>
        <w:t>Overall completion percentage and production deployment status are To be confirmed.</w:t>
      </w:r>
    </w:p>
    <w:p>
      <w:pPr>
        <w:pStyle w:val="Heading1"/>
      </w:pPr>
      <w:r>
        <w:t>9. Deployment &amp; Setup Summary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8568"/>
      </w:tblGrid>
      <w:tr>
        <w:trPr>
          <w:tblHeader w:val="true"/>
        </w:trPr>
        <w:tc>
          <w:tcPr>
            <w:tcW w:type="dxa" w:w="5083"/>
            <w:shd w:fill="183B63"/>
            <w:vAlign w:val="center"/>
          </w:tcPr>
          <w:p>
            <w:r>
              <w:rPr>
                <w:b/>
                <w:color w:val="FFFFFF"/>
                <w:sz w:val="16"/>
              </w:rPr>
              <w:t>Area</w:t>
            </w:r>
          </w:p>
        </w:tc>
        <w:tc>
          <w:tcPr>
            <w:tcW w:type="dxa" w:w="5083"/>
            <w:shd w:fill="183B63"/>
            <w:vAlign w:val="center"/>
          </w:tcPr>
          <w:p>
            <w:r>
              <w:rPr>
                <w:b/>
                <w:color w:val="FFFFFF"/>
                <w:sz w:val="16"/>
              </w:rPr>
              <w:t>Summary</w:t>
            </w:r>
          </w:p>
        </w:tc>
      </w:tr>
      <w:tr>
        <w:tc>
          <w:tcPr>
            <w:tcW w:type="dxa" w:w="2088"/>
            <w:vAlign w:val="center"/>
          </w:tcPr>
          <w:p>
            <w:pPr>
              <w:spacing w:after="40"/>
            </w:pPr>
            <w:r>
              <w:rPr>
                <w:sz w:val="16"/>
              </w:rPr>
              <w:t>Repository</w:t>
            </w:r>
          </w:p>
        </w:tc>
        <w:tc>
          <w:tcPr>
            <w:tcW w:type="dxa" w:w="8568"/>
            <w:vAlign w:val="center"/>
          </w:tcPr>
          <w:p>
            <w:pPr>
              <w:spacing w:after="40"/>
            </w:pPr>
            <w:r>
              <w:rPr>
                <w:sz w:val="16"/>
              </w:rPr>
              <w:t>Current project directory: ReachPay. Repository remote URL: To be confirmed.</w:t>
            </w:r>
          </w:p>
        </w:tc>
      </w:tr>
      <w:tr>
        <w:tc>
          <w:tcPr>
            <w:tcW w:type="dxa" w:w="2088"/>
            <w:vAlign w:val="center"/>
            <w:shd w:fill="F3F6F9"/>
          </w:tcPr>
          <w:p>
            <w:pPr>
              <w:spacing w:after="40"/>
            </w:pPr>
            <w:r>
              <w:rPr>
                <w:sz w:val="16"/>
              </w:rPr>
              <w:t>Local requirements</w:t>
            </w:r>
          </w:p>
        </w:tc>
        <w:tc>
          <w:tcPr>
            <w:tcW w:type="dxa" w:w="8568"/>
            <w:vAlign w:val="center"/>
            <w:shd w:fill="F3F6F9"/>
          </w:tcPr>
          <w:p>
            <w:pPr>
              <w:spacing w:after="40"/>
            </w:pPr>
            <w:r>
              <w:rPr>
                <w:sz w:val="16"/>
              </w:rPr>
              <w:t>Node.js 22 or later and npm. PostgreSQL is needed for PostgreSQL-backed auth/financial migrations.</w:t>
            </w:r>
          </w:p>
        </w:tc>
      </w:tr>
      <w:tr>
        <w:tc>
          <w:tcPr>
            <w:tcW w:type="dxa" w:w="2088"/>
            <w:vAlign w:val="center"/>
          </w:tcPr>
          <w:p>
            <w:pPr>
              <w:spacing w:after="40"/>
            </w:pPr>
            <w:r>
              <w:rPr>
                <w:sz w:val="16"/>
              </w:rPr>
              <w:t>Install and run</w:t>
            </w:r>
          </w:p>
        </w:tc>
        <w:tc>
          <w:tcPr>
            <w:tcW w:type="dxa" w:w="8568"/>
            <w:vAlign w:val="center"/>
          </w:tcPr>
          <w:p>
            <w:pPr>
              <w:spacing w:after="40"/>
            </w:pPr>
            <w:r>
              <w:rPr>
                <w:sz w:val="16"/>
              </w:rPr>
              <w:t>Run npm ci, copy .env.example to .env, configure required local values, then npm run dev. The script starts Vite and the local Node API.</w:t>
            </w:r>
          </w:p>
        </w:tc>
      </w:tr>
      <w:tr>
        <w:tc>
          <w:tcPr>
            <w:tcW w:type="dxa" w:w="2088"/>
            <w:vAlign w:val="center"/>
            <w:shd w:fill="F3F6F9"/>
          </w:tcPr>
          <w:p>
            <w:pPr>
              <w:spacing w:after="40"/>
            </w:pPr>
            <w:r>
              <w:rPr>
                <w:sz w:val="16"/>
              </w:rPr>
              <w:t>Checks</w:t>
            </w:r>
          </w:p>
        </w:tc>
        <w:tc>
          <w:tcPr>
            <w:tcW w:type="dxa" w:w="8568"/>
            <w:vAlign w:val="center"/>
            <w:shd w:fill="F3F6F9"/>
          </w:tcPr>
          <w:p>
            <w:pPr>
              <w:spacing w:after="40"/>
            </w:pPr>
            <w:r>
              <w:rPr>
                <w:sz w:val="16"/>
              </w:rPr>
              <w:t>npm run lint, npm test, npm run build. Latest recorded pass is from the 12 October audit and does not validate current uncommitted changes.</w:t>
            </w:r>
          </w:p>
        </w:tc>
      </w:tr>
      <w:tr>
        <w:tc>
          <w:tcPr>
            <w:tcW w:type="dxa" w:w="2088"/>
            <w:vAlign w:val="center"/>
          </w:tcPr>
          <w:p>
            <w:pPr>
              <w:spacing w:after="40"/>
            </w:pPr>
            <w:r>
              <w:rPr>
                <w:sz w:val="16"/>
              </w:rPr>
              <w:t>Deployment</w:t>
            </w:r>
          </w:p>
        </w:tc>
        <w:tc>
          <w:tcPr>
            <w:tcW w:type="dxa" w:w="8568"/>
            <w:vAlign w:val="center"/>
          </w:tcPr>
          <w:p>
            <w:pPr>
              <w:spacing w:after="40"/>
            </w:pPr>
            <w:r>
              <w:rPr>
                <w:sz w:val="16"/>
              </w:rPr>
              <w:t>Vercel is configured through vercel.json and build script. Actual environments and deployed URL: To be confirmed.</w:t>
            </w:r>
          </w:p>
        </w:tc>
      </w:tr>
      <w:tr>
        <w:tc>
          <w:tcPr>
            <w:tcW w:type="dxa" w:w="2088"/>
            <w:vAlign w:val="center"/>
            <w:shd w:fill="F3F6F9"/>
          </w:tcPr>
          <w:p>
            <w:pPr>
              <w:spacing w:after="40"/>
            </w:pPr>
            <w:r>
              <w:rPr>
                <w:sz w:val="16"/>
              </w:rPr>
              <w:t>Environment values</w:t>
            </w:r>
          </w:p>
        </w:tc>
        <w:tc>
          <w:tcPr>
            <w:tcW w:type="dxa" w:w="8568"/>
            <w:vAlign w:val="center"/>
            <w:shd w:fill="F3F6F9"/>
          </w:tcPr>
          <w:p>
            <w:pPr>
              <w:spacing w:after="40"/>
            </w:pPr>
            <w:r>
              <w:rPr>
                <w:sz w:val="16"/>
              </w:rPr>
              <w:t>PUBLIC_SITE_URL, mail/rate-limit configuration, database/auth secrets and provider settings are documented in .env.example and ai/ENVIRONMENT_VARIABLES.md. Keep secrets server-side.</w:t>
            </w:r>
          </w:p>
        </w:tc>
      </w:tr>
      <w:tr>
        <w:tc>
          <w:tcPr>
            <w:tcW w:type="dxa" w:w="2088"/>
            <w:vAlign w:val="center"/>
          </w:tcPr>
          <w:p>
            <w:pPr>
              <w:spacing w:after="40"/>
            </w:pPr>
            <w:r>
              <w:rPr>
                <w:sz w:val="16"/>
              </w:rPr>
              <w:t>Domain and hosting</w:t>
            </w:r>
          </w:p>
        </w:tc>
        <w:tc>
          <w:tcPr>
            <w:tcW w:type="dxa" w:w="8568"/>
            <w:vAlign w:val="center"/>
          </w:tcPr>
          <w:p>
            <w:pPr>
              <w:spacing w:after="40"/>
            </w:pPr>
            <w:r>
              <w:rPr>
                <w:sz w:val="16"/>
              </w:rPr>
              <w:t>Production domain, DNS, Vercel project ownership and production status: To be confirmed.</w:t>
            </w:r>
          </w:p>
        </w:tc>
      </w:tr>
    </w:tbl>
    <w:p>
      <w:pPr>
        <w:spacing w:after="20"/>
      </w:pPr>
    </w:p>
    <w:p>
      <w:pPr>
        <w:pStyle w:val="Heading1"/>
      </w:pPr>
      <w:r>
        <w:t>10. Next Steps / Roadmap</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36"/>
        <w:gridCol w:w="4824"/>
        <w:gridCol w:w="4896"/>
      </w:tblGrid>
      <w:tr>
        <w:trPr>
          <w:tblHeader w:val="true"/>
        </w:trPr>
        <w:tc>
          <w:tcPr>
            <w:tcW w:type="dxa" w:w="3389"/>
            <w:shd w:fill="183B63"/>
            <w:vAlign w:val="center"/>
          </w:tcPr>
          <w:p>
            <w:r>
              <w:rPr>
                <w:b/>
                <w:color w:val="FFFFFF"/>
                <w:sz w:val="15"/>
              </w:rPr>
              <w:t>Priority</w:t>
            </w:r>
          </w:p>
        </w:tc>
        <w:tc>
          <w:tcPr>
            <w:tcW w:type="dxa" w:w="3389"/>
            <w:shd w:fill="183B63"/>
            <w:vAlign w:val="center"/>
          </w:tcPr>
          <w:p>
            <w:r>
              <w:rPr>
                <w:b/>
                <w:color w:val="FFFFFF"/>
                <w:sz w:val="15"/>
              </w:rPr>
              <w:t>Next step</w:t>
            </w:r>
          </w:p>
        </w:tc>
        <w:tc>
          <w:tcPr>
            <w:tcW w:type="dxa" w:w="3389"/>
            <w:shd w:fill="183B63"/>
            <w:vAlign w:val="center"/>
          </w:tcPr>
          <w:p>
            <w:r>
              <w:rPr>
                <w:b/>
                <w:color w:val="FFFFFF"/>
                <w:sz w:val="15"/>
              </w:rPr>
              <w:t>Outcome</w:t>
            </w:r>
          </w:p>
        </w:tc>
      </w:tr>
      <w:tr>
        <w:tc>
          <w:tcPr>
            <w:tcW w:type="dxa" w:w="936"/>
            <w:vAlign w:val="center"/>
          </w:tcPr>
          <w:p>
            <w:pPr>
              <w:spacing w:after="40"/>
            </w:pPr>
            <w:r>
              <w:rPr>
                <w:sz w:val="15"/>
              </w:rPr>
              <w:t>P0</w:t>
            </w:r>
          </w:p>
        </w:tc>
        <w:tc>
          <w:tcPr>
            <w:tcW w:type="dxa" w:w="4824"/>
            <w:vAlign w:val="center"/>
          </w:tcPr>
          <w:p>
            <w:pPr>
              <w:spacing w:after="40"/>
            </w:pPr>
            <w:r>
              <w:rPr>
                <w:sz w:val="15"/>
              </w:rPr>
              <w:t>Confirm company identity, legal copy, product/geography claims and admin roles.</w:t>
            </w:r>
          </w:p>
        </w:tc>
        <w:tc>
          <w:tcPr>
            <w:tcW w:type="dxa" w:w="4896"/>
            <w:vAlign w:val="center"/>
          </w:tcPr>
          <w:p>
            <w:pPr>
              <w:spacing w:after="40"/>
            </w:pPr>
            <w:r>
              <w:rPr>
                <w:sz w:val="15"/>
              </w:rPr>
              <w:t>Approved scope and accurate stakeholder-facing website.</w:t>
            </w:r>
          </w:p>
        </w:tc>
      </w:tr>
      <w:tr>
        <w:tc>
          <w:tcPr>
            <w:tcW w:type="dxa" w:w="936"/>
            <w:vAlign w:val="center"/>
            <w:shd w:fill="F3F6F9"/>
          </w:tcPr>
          <w:p>
            <w:pPr>
              <w:spacing w:after="40"/>
            </w:pPr>
            <w:r>
              <w:rPr>
                <w:sz w:val="15"/>
              </w:rPr>
              <w:t>P0</w:t>
            </w:r>
          </w:p>
        </w:tc>
        <w:tc>
          <w:tcPr>
            <w:tcW w:type="dxa" w:w="4824"/>
            <w:vAlign w:val="center"/>
            <w:shd w:fill="F3F6F9"/>
          </w:tcPr>
          <w:p>
            <w:pPr>
              <w:spacing w:after="40"/>
            </w:pPr>
            <w:r>
              <w:rPr>
                <w:sz w:val="15"/>
              </w:rPr>
              <w:t>Confirm provider contracts, merchant permissions and legally permitted funding sources.</w:t>
            </w:r>
          </w:p>
        </w:tc>
        <w:tc>
          <w:tcPr>
            <w:tcW w:type="dxa" w:w="4896"/>
            <w:vAlign w:val="center"/>
            <w:shd w:fill="F3F6F9"/>
          </w:tcPr>
          <w:p>
            <w:pPr>
              <w:spacing w:after="40"/>
            </w:pPr>
            <w:r>
              <w:rPr>
                <w:sz w:val="15"/>
              </w:rPr>
              <w:t>Evidence-backed activation criteria for POS, BBPS and payout.</w:t>
            </w:r>
          </w:p>
        </w:tc>
      </w:tr>
      <w:tr>
        <w:tc>
          <w:tcPr>
            <w:tcW w:type="dxa" w:w="936"/>
            <w:vAlign w:val="center"/>
          </w:tcPr>
          <w:p>
            <w:pPr>
              <w:spacing w:after="40"/>
            </w:pPr>
            <w:r>
              <w:rPr>
                <w:sz w:val="15"/>
              </w:rPr>
              <w:t>P0</w:t>
            </w:r>
          </w:p>
        </w:tc>
        <w:tc>
          <w:tcPr>
            <w:tcW w:type="dxa" w:w="4824"/>
            <w:vAlign w:val="center"/>
          </w:tcPr>
          <w:p>
            <w:pPr>
              <w:spacing w:after="40"/>
            </w:pPr>
            <w:r>
              <w:rPr>
                <w:sz w:val="15"/>
              </w:rPr>
              <w:t>Provision and verify production database, secrets, email/SMS and shared rate limiting.</w:t>
            </w:r>
          </w:p>
        </w:tc>
        <w:tc>
          <w:tcPr>
            <w:tcW w:type="dxa" w:w="4896"/>
            <w:vAlign w:val="center"/>
          </w:tcPr>
          <w:p>
            <w:pPr>
              <w:spacing w:after="40"/>
            </w:pPr>
            <w:r>
              <w:rPr>
                <w:sz w:val="15"/>
              </w:rPr>
              <w:t>Operational customer auth and secure form delivery.</w:t>
            </w:r>
          </w:p>
        </w:tc>
      </w:tr>
      <w:tr>
        <w:tc>
          <w:tcPr>
            <w:tcW w:type="dxa" w:w="936"/>
            <w:vAlign w:val="center"/>
            <w:shd w:fill="F3F6F9"/>
          </w:tcPr>
          <w:p>
            <w:pPr>
              <w:spacing w:after="40"/>
            </w:pPr>
            <w:r>
              <w:rPr>
                <w:sz w:val="15"/>
              </w:rPr>
              <w:t>P1</w:t>
            </w:r>
          </w:p>
        </w:tc>
        <w:tc>
          <w:tcPr>
            <w:tcW w:type="dxa" w:w="4824"/>
            <w:vAlign w:val="center"/>
            <w:shd w:fill="F3F6F9"/>
          </w:tcPr>
          <w:p>
            <w:pPr>
              <w:spacing w:after="40"/>
            </w:pPr>
            <w:r>
              <w:rPr>
                <w:sz w:val="15"/>
              </w:rPr>
              <w:t>Implement and validate ledger/repository workflows and authorized financial APIs.</w:t>
            </w:r>
          </w:p>
        </w:tc>
        <w:tc>
          <w:tcPr>
            <w:tcW w:type="dxa" w:w="4896"/>
            <w:vAlign w:val="center"/>
            <w:shd w:fill="F3F6F9"/>
          </w:tcPr>
          <w:p>
            <w:pPr>
              <w:spacing w:after="40"/>
            </w:pPr>
            <w:r>
              <w:rPr>
                <w:sz w:val="15"/>
              </w:rPr>
              <w:t>Auditable end-to-end operations, only after funding/provider approval.</w:t>
            </w:r>
          </w:p>
        </w:tc>
      </w:tr>
      <w:tr>
        <w:tc>
          <w:tcPr>
            <w:tcW w:type="dxa" w:w="936"/>
            <w:vAlign w:val="center"/>
          </w:tcPr>
          <w:p>
            <w:pPr>
              <w:spacing w:after="40"/>
            </w:pPr>
            <w:r>
              <w:rPr>
                <w:sz w:val="15"/>
              </w:rPr>
              <w:t>P1</w:t>
            </w:r>
          </w:p>
        </w:tc>
        <w:tc>
          <w:tcPr>
            <w:tcW w:type="dxa" w:w="4824"/>
            <w:vAlign w:val="center"/>
          </w:tcPr>
          <w:p>
            <w:pPr>
              <w:spacing w:after="40"/>
            </w:pPr>
            <w:r>
              <w:rPr>
                <w:sz w:val="15"/>
              </w:rPr>
              <w:t>Complete provider sandbox/UAT and callback, idempotency and reconciliation tests.</w:t>
            </w:r>
          </w:p>
        </w:tc>
        <w:tc>
          <w:tcPr>
            <w:tcW w:type="dxa" w:w="4896"/>
            <w:vAlign w:val="center"/>
          </w:tcPr>
          <w:p>
            <w:pPr>
              <w:spacing w:after="40"/>
            </w:pPr>
            <w:r>
              <w:rPr>
                <w:sz w:val="15"/>
              </w:rPr>
              <w:t>Verified provider behavior before live enablement.</w:t>
            </w:r>
          </w:p>
        </w:tc>
      </w:tr>
      <w:tr>
        <w:tc>
          <w:tcPr>
            <w:tcW w:type="dxa" w:w="936"/>
            <w:vAlign w:val="center"/>
            <w:shd w:fill="F3F6F9"/>
          </w:tcPr>
          <w:p>
            <w:pPr>
              <w:spacing w:after="40"/>
            </w:pPr>
            <w:r>
              <w:rPr>
                <w:sz w:val="15"/>
              </w:rPr>
              <w:t>P1</w:t>
            </w:r>
          </w:p>
        </w:tc>
        <w:tc>
          <w:tcPr>
            <w:tcW w:type="dxa" w:w="4824"/>
            <w:vAlign w:val="center"/>
            <w:shd w:fill="F3F6F9"/>
          </w:tcPr>
          <w:p>
            <w:pPr>
              <w:spacing w:after="40"/>
            </w:pPr>
            <w:r>
              <w:rPr>
                <w:sz w:val="15"/>
              </w:rPr>
              <w:t>Define/build admin operations UI and role permissions if required.</w:t>
            </w:r>
          </w:p>
        </w:tc>
        <w:tc>
          <w:tcPr>
            <w:tcW w:type="dxa" w:w="4896"/>
            <w:vAlign w:val="center"/>
            <w:shd w:fill="F3F6F9"/>
          </w:tcPr>
          <w:p>
            <w:pPr>
              <w:spacing w:after="40"/>
            </w:pPr>
            <w:r>
              <w:rPr>
                <w:sz w:val="15"/>
              </w:rPr>
              <w:t>Supported operations and controlled administration.</w:t>
            </w:r>
          </w:p>
        </w:tc>
      </w:tr>
      <w:tr>
        <w:tc>
          <w:tcPr>
            <w:tcW w:type="dxa" w:w="936"/>
            <w:vAlign w:val="center"/>
          </w:tcPr>
          <w:p>
            <w:pPr>
              <w:spacing w:after="40"/>
            </w:pPr>
            <w:r>
              <w:rPr>
                <w:sz w:val="15"/>
              </w:rPr>
              <w:t>P2</w:t>
            </w:r>
          </w:p>
        </w:tc>
        <w:tc>
          <w:tcPr>
            <w:tcW w:type="dxa" w:w="4824"/>
            <w:vAlign w:val="center"/>
          </w:tcPr>
          <w:p>
            <w:pPr>
              <w:spacing w:after="40"/>
            </w:pPr>
            <w:r>
              <w:rPr>
                <w:sz w:val="15"/>
              </w:rPr>
              <w:t>Complete deployed browser, accessibility, security, backup/restore and monitoring review.</w:t>
            </w:r>
          </w:p>
        </w:tc>
        <w:tc>
          <w:tcPr>
            <w:tcW w:type="dxa" w:w="4896"/>
            <w:vAlign w:val="center"/>
          </w:tcPr>
          <w:p>
            <w:pPr>
              <w:spacing w:after="40"/>
            </w:pPr>
            <w:r>
              <w:rPr>
                <w:sz w:val="15"/>
              </w:rPr>
              <w:t>Launch readiness evidence and known operational ownership.</w:t>
            </w:r>
          </w:p>
        </w:tc>
      </w:tr>
      <w:tr>
        <w:tc>
          <w:tcPr>
            <w:tcW w:type="dxa" w:w="936"/>
            <w:vAlign w:val="center"/>
            <w:shd w:fill="F3F6F9"/>
          </w:tcPr>
          <w:p>
            <w:pPr>
              <w:spacing w:after="40"/>
            </w:pPr>
            <w:r>
              <w:rPr>
                <w:sz w:val="15"/>
              </w:rPr>
              <w:t>P2</w:t>
            </w:r>
          </w:p>
        </w:tc>
        <w:tc>
          <w:tcPr>
            <w:tcW w:type="dxa" w:w="4824"/>
            <w:vAlign w:val="center"/>
            <w:shd w:fill="F3F6F9"/>
          </w:tcPr>
          <w:p>
            <w:pPr>
              <w:spacing w:after="40"/>
            </w:pPr>
            <w:r>
              <w:rPr>
                <w:sz w:val="15"/>
              </w:rPr>
              <w:t>Review current uncommitted changes and rerun agreed verification on the resulting code.</w:t>
            </w:r>
          </w:p>
        </w:tc>
        <w:tc>
          <w:tcPr>
            <w:tcW w:type="dxa" w:w="4896"/>
            <w:vAlign w:val="center"/>
            <w:shd w:fill="F3F6F9"/>
          </w:tcPr>
          <w:p>
            <w:pPr>
              <w:spacing w:after="40"/>
            </w:pPr>
            <w:r>
              <w:rPr>
                <w:sz w:val="15"/>
              </w:rPr>
              <w:t>Current, reproducible build and test baseline.</w:t>
            </w:r>
          </w:p>
        </w:tc>
      </w:tr>
    </w:tbl>
    <w:p>
      <w:pPr>
        <w:spacing w:after="20"/>
      </w:pPr>
    </w:p>
    <w:p>
      <w:pPr>
        <w:pStyle w:val="Heading1"/>
      </w:pPr>
      <w:r>
        <w:t>Evidence and reporting notes</w:t>
      </w:r>
    </w:p>
    <w:p>
      <w:r>
        <w:t>This report is based on the repository README, route inventory, source files, environment template and engineering notes available on 16 October 2026. The latest consolidated status audit found was dated 12 October 2026. Its test/build results are reported as historical evidence, not as a fresh run on the current working tree. Several repository files are modified in the current workspace, so current behavior should be confirmed after review and verification.</w:t>
      </w:r>
    </w:p>
    <w:p>
      <w:r>
        <w:t>Where the codebase or project records do not establish a fact, this report uses “To be confirmed”. The project has no evidence-based overall completion percentage.</w:t>
      </w:r>
    </w:p>
    <w:sectPr w:rsidR="00FC693F" w:rsidRPr="0006063C" w:rsidSect="00034616">
      <w:headerReference w:type="default" r:id="rId9"/>
      <w:footerReference w:type="default" r:id="rId10"/>
      <w:pgSz w:w="12240" w:h="15840"/>
      <w:pgMar w:top="1037" w:right="1037" w:bottom="1037"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A646E"/>
        <w:sz w:val="16"/>
      </w:rPr>
      <w:t xml:space="preserve">ReachPay  •  16 October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4A5E75"/>
        <w:sz w:val="16"/>
      </w:rPr>
      <w:t>REACHPAY  |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eastAsia="Aptos"/>
      <w:color w:val="28303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eastAsia="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ptos Display" w:hAnsi="Aptos Display" w:eastAsia="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0"/>
      <w:contextualSpacing/>
    </w:pPr>
    <w:rPr>
      <w:rFonts w:asciiTheme="majorHAnsi" w:eastAsiaTheme="majorEastAsia" w:hAnsiTheme="majorHAnsi" w:cstheme="majorBidi" w:ascii="Aptos Display" w:hAnsi="Aptos Display" w:eastAsia="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ReachPay Project Report</dc:title>
  <dc:subject>Codebase review and implementation status</dc:subject>
  <dc:creator>ReachPay Project Documentation</dc:creator>
  <cp:keywords/>
  <dc:description>generated by python-docx</dc:description>
  <cp:lastModifiedBy/>
  <cp:revision>1</cp:revision>
  <dcterms:created xsi:type="dcterms:W3CDTF">2013-12-23T23:15:00Z</dcterms:created>
  <dcterms:modified xsi:type="dcterms:W3CDTF">2013-12-23T23:15:00Z</dcterms:modified>
  <cp:category/>
</cp:coreProperties>
</file>