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8A2B4" w14:textId="77777777" w:rsidR="008D41F3" w:rsidRPr="008D41F3" w:rsidRDefault="008D41F3" w:rsidP="00E9459C">
      <w:pPr>
        <w:jc w:val="center"/>
        <w:rPr>
          <w:b/>
          <w:bCs/>
        </w:rPr>
      </w:pPr>
      <w:r w:rsidRPr="008D41F3">
        <w:rPr>
          <w:b/>
          <w:bCs/>
        </w:rPr>
        <w:t>EECT6379 - Energy Harvesting, Storage and Powering for Microsystems</w:t>
      </w:r>
    </w:p>
    <w:p w14:paraId="34D69301" w14:textId="69EB5035" w:rsidR="008D41F3" w:rsidRPr="008D41F3" w:rsidRDefault="000C4587" w:rsidP="00E9459C">
      <w:pPr>
        <w:jc w:val="center"/>
        <w:rPr>
          <w:b/>
          <w:bCs/>
        </w:rPr>
      </w:pPr>
      <w:r>
        <w:rPr>
          <w:b/>
          <w:bCs/>
        </w:rPr>
        <w:t>Second</w:t>
      </w:r>
      <w:r w:rsidR="008D41F3" w:rsidRPr="008D41F3">
        <w:rPr>
          <w:b/>
          <w:bCs/>
        </w:rPr>
        <w:t xml:space="preserve"> Project Assignment</w:t>
      </w:r>
      <w:r w:rsidR="00556728">
        <w:rPr>
          <w:b/>
          <w:bCs/>
        </w:rPr>
        <w:t xml:space="preserve"> | </w:t>
      </w:r>
      <w:r w:rsidR="008D41F3" w:rsidRPr="008D41F3">
        <w:rPr>
          <w:b/>
          <w:bCs/>
        </w:rPr>
        <w:t>Devang Sankhala (dgs150030)</w:t>
      </w:r>
      <w:r w:rsidR="00556728">
        <w:rPr>
          <w:b/>
          <w:bCs/>
        </w:rPr>
        <w:t xml:space="preserve"> | </w:t>
      </w:r>
      <w:r w:rsidR="00BB7386">
        <w:rPr>
          <w:b/>
          <w:bCs/>
        </w:rPr>
        <w:t>April</w:t>
      </w:r>
      <w:r w:rsidR="008D41F3" w:rsidRPr="008D41F3">
        <w:rPr>
          <w:b/>
          <w:bCs/>
        </w:rPr>
        <w:t xml:space="preserve"> </w:t>
      </w:r>
      <w:r>
        <w:rPr>
          <w:b/>
          <w:bCs/>
        </w:rPr>
        <w:t>1</w:t>
      </w:r>
      <w:r w:rsidR="008D41F3" w:rsidRPr="008D41F3">
        <w:rPr>
          <w:b/>
          <w:bCs/>
        </w:rPr>
        <w:t>1, 2017</w:t>
      </w:r>
    </w:p>
    <w:p w14:paraId="26D26F5F" w14:textId="2A4185BD" w:rsidR="008D41F3" w:rsidRDefault="00BB7386" w:rsidP="00E9459C">
      <w:pPr>
        <w:jc w:val="both"/>
      </w:pPr>
      <w:r>
        <w:rPr>
          <w:noProof/>
          <w:lang w:bidi="ar-SA"/>
        </w:rPr>
        <w:drawing>
          <wp:inline distT="0" distB="0" distL="0" distR="0" wp14:anchorId="55F19362" wp14:editId="7C32FAA7">
            <wp:extent cx="5943600" cy="353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977" w14:textId="77777777" w:rsidR="008D41F3" w:rsidRPr="008D41F3" w:rsidRDefault="008D41F3" w:rsidP="00E9459C">
      <w:pPr>
        <w:jc w:val="both"/>
        <w:rPr>
          <w:b/>
          <w:bCs/>
        </w:rPr>
      </w:pPr>
      <w:r w:rsidRPr="008D41F3">
        <w:rPr>
          <w:b/>
          <w:bCs/>
        </w:rPr>
        <w:t>Process files</w:t>
      </w:r>
    </w:p>
    <w:p w14:paraId="1F000EC9" w14:textId="77777777" w:rsidR="008D41F3" w:rsidRDefault="008D41F3" w:rsidP="00E9459C">
      <w:pPr>
        <w:jc w:val="both"/>
      </w:pPr>
      <w:r>
        <w:t>TSMC 0.35 um process files were used for this assignment. Important characteristic values are given</w:t>
      </w:r>
      <w:r w:rsidR="000167C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1F3" w14:paraId="66ABCD90" w14:textId="77777777" w:rsidTr="008D41F3">
        <w:tc>
          <w:tcPr>
            <w:tcW w:w="3116" w:type="dxa"/>
          </w:tcPr>
          <w:p w14:paraId="604405DE" w14:textId="77777777" w:rsidR="008D41F3" w:rsidRPr="008D41F3" w:rsidRDefault="008D41F3" w:rsidP="00E9459C">
            <w:pPr>
              <w:jc w:val="both"/>
              <w:rPr>
                <w:b/>
                <w:bCs/>
              </w:rPr>
            </w:pPr>
            <w:r w:rsidRPr="008D41F3">
              <w:rPr>
                <w:b/>
                <w:bCs/>
              </w:rPr>
              <w:t>Parameter</w:t>
            </w:r>
          </w:p>
        </w:tc>
        <w:tc>
          <w:tcPr>
            <w:tcW w:w="3117" w:type="dxa"/>
          </w:tcPr>
          <w:p w14:paraId="2CA1EF1D" w14:textId="77777777" w:rsidR="008D41F3" w:rsidRPr="008D41F3" w:rsidRDefault="008D41F3" w:rsidP="00E9459C">
            <w:pPr>
              <w:jc w:val="both"/>
              <w:rPr>
                <w:b/>
                <w:bCs/>
              </w:rPr>
            </w:pPr>
            <w:r w:rsidRPr="008D41F3">
              <w:rPr>
                <w:b/>
                <w:bCs/>
              </w:rPr>
              <w:t>NMOS</w:t>
            </w:r>
          </w:p>
        </w:tc>
        <w:tc>
          <w:tcPr>
            <w:tcW w:w="3117" w:type="dxa"/>
          </w:tcPr>
          <w:p w14:paraId="5B5F00BA" w14:textId="77777777" w:rsidR="008D41F3" w:rsidRPr="008D41F3" w:rsidRDefault="008D41F3" w:rsidP="00E9459C">
            <w:pPr>
              <w:jc w:val="both"/>
              <w:rPr>
                <w:b/>
                <w:bCs/>
              </w:rPr>
            </w:pPr>
            <w:r w:rsidRPr="008D41F3">
              <w:rPr>
                <w:b/>
                <w:bCs/>
              </w:rPr>
              <w:t>PMOS</w:t>
            </w:r>
          </w:p>
        </w:tc>
      </w:tr>
      <w:tr w:rsidR="008D41F3" w14:paraId="3AC23AC2" w14:textId="77777777" w:rsidTr="008D41F3">
        <w:tc>
          <w:tcPr>
            <w:tcW w:w="3116" w:type="dxa"/>
          </w:tcPr>
          <w:p w14:paraId="67FA0007" w14:textId="77777777" w:rsidR="008D41F3" w:rsidRDefault="008D41F3" w:rsidP="00E9459C">
            <w:pPr>
              <w:jc w:val="both"/>
            </w:pPr>
            <w:r>
              <w:t>µC</w:t>
            </w:r>
            <w:r w:rsidRPr="008D41F3">
              <w:rPr>
                <w:vertAlign w:val="subscript"/>
              </w:rPr>
              <w:t>ox</w:t>
            </w:r>
          </w:p>
        </w:tc>
        <w:tc>
          <w:tcPr>
            <w:tcW w:w="3117" w:type="dxa"/>
          </w:tcPr>
          <w:p w14:paraId="7CDFE9E6" w14:textId="77777777" w:rsidR="008D41F3" w:rsidRDefault="008D41F3" w:rsidP="00E9459C">
            <w:pPr>
              <w:jc w:val="both"/>
            </w:pPr>
            <w:r>
              <w:t>150</w:t>
            </w:r>
            <w:r w:rsidR="005F2A61">
              <w:t xml:space="preserve"> µA/V</w:t>
            </w:r>
            <w:r w:rsidR="005F2A61" w:rsidRPr="005F2A61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351D2932" w14:textId="77777777" w:rsidR="008D41F3" w:rsidRDefault="005F2A61" w:rsidP="00E9459C">
            <w:pPr>
              <w:jc w:val="both"/>
            </w:pPr>
            <w:r>
              <w:t>30 µA/V</w:t>
            </w:r>
            <w:r w:rsidRPr="005F2A61">
              <w:rPr>
                <w:vertAlign w:val="superscript"/>
              </w:rPr>
              <w:t>2</w:t>
            </w:r>
          </w:p>
        </w:tc>
      </w:tr>
      <w:tr w:rsidR="008D41F3" w14:paraId="313A4698" w14:textId="77777777" w:rsidTr="008D41F3">
        <w:tc>
          <w:tcPr>
            <w:tcW w:w="3116" w:type="dxa"/>
          </w:tcPr>
          <w:p w14:paraId="4854E4EA" w14:textId="77777777" w:rsidR="008D41F3" w:rsidRDefault="008D41F3" w:rsidP="00E9459C">
            <w:pPr>
              <w:jc w:val="both"/>
            </w:pPr>
            <w:r>
              <w:t>Threshold voltage</w:t>
            </w:r>
          </w:p>
        </w:tc>
        <w:tc>
          <w:tcPr>
            <w:tcW w:w="3117" w:type="dxa"/>
          </w:tcPr>
          <w:p w14:paraId="7BDEC6F0" w14:textId="77777777" w:rsidR="008D41F3" w:rsidRDefault="008D41F3" w:rsidP="00E9459C">
            <w:pPr>
              <w:jc w:val="both"/>
            </w:pPr>
            <w:r>
              <w:t>0.5 V</w:t>
            </w:r>
          </w:p>
        </w:tc>
        <w:tc>
          <w:tcPr>
            <w:tcW w:w="3117" w:type="dxa"/>
          </w:tcPr>
          <w:p w14:paraId="2C82CE8A" w14:textId="77777777" w:rsidR="008D41F3" w:rsidRDefault="00D05533" w:rsidP="00E9459C">
            <w:pPr>
              <w:jc w:val="both"/>
            </w:pPr>
            <w:r>
              <w:t>0</w:t>
            </w:r>
            <w:r w:rsidR="008D41F3">
              <w:t>.</w:t>
            </w:r>
            <w:r>
              <w:t>7</w:t>
            </w:r>
            <w:r w:rsidR="008D41F3">
              <w:t xml:space="preserve"> V</w:t>
            </w:r>
          </w:p>
        </w:tc>
      </w:tr>
      <w:tr w:rsidR="008D41F3" w14:paraId="4C63BADB" w14:textId="77777777" w:rsidTr="008D41F3">
        <w:tc>
          <w:tcPr>
            <w:tcW w:w="3116" w:type="dxa"/>
          </w:tcPr>
          <w:p w14:paraId="23B3137B" w14:textId="77777777" w:rsidR="008D41F3" w:rsidRDefault="008D41F3" w:rsidP="00E9459C">
            <w:pPr>
              <w:jc w:val="both"/>
            </w:pPr>
            <w:r>
              <w:t>Lambda</w:t>
            </w:r>
          </w:p>
        </w:tc>
        <w:tc>
          <w:tcPr>
            <w:tcW w:w="3117" w:type="dxa"/>
          </w:tcPr>
          <w:p w14:paraId="27FF1C7E" w14:textId="77777777" w:rsidR="008D41F3" w:rsidRDefault="008D41F3" w:rsidP="00E9459C">
            <w:pPr>
              <w:jc w:val="both"/>
            </w:pPr>
            <w:r>
              <w:t>0.01</w:t>
            </w:r>
          </w:p>
        </w:tc>
        <w:tc>
          <w:tcPr>
            <w:tcW w:w="3117" w:type="dxa"/>
          </w:tcPr>
          <w:p w14:paraId="00F4DA34" w14:textId="77777777" w:rsidR="008D41F3" w:rsidRDefault="008D41F3" w:rsidP="00E9459C">
            <w:pPr>
              <w:jc w:val="both"/>
            </w:pPr>
            <w:r>
              <w:t>0.01</w:t>
            </w:r>
            <w:r w:rsidR="007A59D4">
              <w:t>5</w:t>
            </w:r>
          </w:p>
        </w:tc>
      </w:tr>
    </w:tbl>
    <w:p w14:paraId="290445B8" w14:textId="77777777" w:rsidR="000167C6" w:rsidRDefault="000167C6" w:rsidP="00E9459C">
      <w:pPr>
        <w:jc w:val="both"/>
        <w:rPr>
          <w:b/>
          <w:bCs/>
        </w:rPr>
      </w:pPr>
    </w:p>
    <w:p w14:paraId="23F360D6" w14:textId="77777777" w:rsidR="008D41F3" w:rsidRPr="005F2A61" w:rsidRDefault="008D41F3" w:rsidP="00E9459C">
      <w:pPr>
        <w:jc w:val="both"/>
        <w:rPr>
          <w:b/>
          <w:bCs/>
        </w:rPr>
      </w:pPr>
      <w:r w:rsidRPr="005F2A61">
        <w:rPr>
          <w:b/>
          <w:bCs/>
        </w:rPr>
        <w:t>Sizing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867"/>
        <w:gridCol w:w="1839"/>
        <w:gridCol w:w="1891"/>
        <w:gridCol w:w="1643"/>
      </w:tblGrid>
      <w:tr w:rsidR="00E34604" w14:paraId="2A6E82F2" w14:textId="77777777" w:rsidTr="00E34604">
        <w:tc>
          <w:tcPr>
            <w:tcW w:w="2110" w:type="dxa"/>
          </w:tcPr>
          <w:p w14:paraId="4AD6C609" w14:textId="77777777" w:rsidR="00E34604" w:rsidRPr="00556728" w:rsidRDefault="00E34604" w:rsidP="00E9459C">
            <w:pPr>
              <w:jc w:val="both"/>
              <w:rPr>
                <w:b/>
                <w:bCs/>
              </w:rPr>
            </w:pPr>
            <w:r w:rsidRPr="00556728">
              <w:rPr>
                <w:b/>
                <w:bCs/>
              </w:rPr>
              <w:t>Designator</w:t>
            </w:r>
          </w:p>
        </w:tc>
        <w:tc>
          <w:tcPr>
            <w:tcW w:w="1867" w:type="dxa"/>
          </w:tcPr>
          <w:p w14:paraId="2C782E5F" w14:textId="7B579242" w:rsidR="00E34604" w:rsidRPr="00556728" w:rsidRDefault="00BB7386" w:rsidP="00E945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 m</w:t>
            </w:r>
          </w:p>
        </w:tc>
        <w:tc>
          <w:tcPr>
            <w:tcW w:w="1839" w:type="dxa"/>
          </w:tcPr>
          <w:p w14:paraId="1997C9F5" w14:textId="39E9490C" w:rsidR="00E34604" w:rsidRPr="00556728" w:rsidRDefault="00BB7386" w:rsidP="00E945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 m</w:t>
            </w:r>
          </w:p>
        </w:tc>
        <w:tc>
          <w:tcPr>
            <w:tcW w:w="1891" w:type="dxa"/>
          </w:tcPr>
          <w:p w14:paraId="6F2B6E81" w14:textId="77777777" w:rsidR="00E34604" w:rsidRPr="00556728" w:rsidRDefault="00E34604" w:rsidP="00E9459C">
            <w:pPr>
              <w:jc w:val="both"/>
              <w:rPr>
                <w:b/>
                <w:bCs/>
              </w:rPr>
            </w:pPr>
            <w:r w:rsidRPr="00556728">
              <w:rPr>
                <w:b/>
                <w:bCs/>
              </w:rPr>
              <w:t>Multiplier</w:t>
            </w:r>
          </w:p>
        </w:tc>
        <w:tc>
          <w:tcPr>
            <w:tcW w:w="1643" w:type="dxa"/>
          </w:tcPr>
          <w:p w14:paraId="703B3509" w14:textId="77777777" w:rsidR="00E34604" w:rsidRPr="00556728" w:rsidRDefault="00E34604" w:rsidP="00E9459C">
            <w:pPr>
              <w:jc w:val="both"/>
              <w:rPr>
                <w:b/>
                <w:bCs/>
              </w:rPr>
            </w:pPr>
            <w:r w:rsidRPr="00556728">
              <w:rPr>
                <w:b/>
                <w:bCs/>
              </w:rPr>
              <w:t>Active a</w:t>
            </w:r>
            <w:r w:rsidR="000167C6" w:rsidRPr="00556728">
              <w:rPr>
                <w:b/>
                <w:bCs/>
              </w:rPr>
              <w:t>rea</w:t>
            </w:r>
          </w:p>
        </w:tc>
      </w:tr>
      <w:tr w:rsidR="000126A5" w14:paraId="2BF7C036" w14:textId="77777777" w:rsidTr="00335888">
        <w:tc>
          <w:tcPr>
            <w:tcW w:w="2110" w:type="dxa"/>
          </w:tcPr>
          <w:p w14:paraId="6CA24E4F" w14:textId="79EA6168" w:rsidR="000126A5" w:rsidRDefault="000126A5" w:rsidP="000126A5">
            <w:pPr>
              <w:jc w:val="both"/>
            </w:pPr>
            <w:r>
              <w:t xml:space="preserve">MN1 </w:t>
            </w:r>
          </w:p>
        </w:tc>
        <w:tc>
          <w:tcPr>
            <w:tcW w:w="1867" w:type="dxa"/>
            <w:vAlign w:val="bottom"/>
          </w:tcPr>
          <w:p w14:paraId="29A32915" w14:textId="280A05D7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4E-06</w:t>
            </w:r>
          </w:p>
        </w:tc>
        <w:tc>
          <w:tcPr>
            <w:tcW w:w="1839" w:type="dxa"/>
            <w:vAlign w:val="bottom"/>
          </w:tcPr>
          <w:p w14:paraId="736BD22F" w14:textId="74525DF7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3.50E-07</w:t>
            </w:r>
          </w:p>
        </w:tc>
        <w:tc>
          <w:tcPr>
            <w:tcW w:w="1891" w:type="dxa"/>
            <w:vAlign w:val="bottom"/>
          </w:tcPr>
          <w:p w14:paraId="0A6B40D3" w14:textId="57E5454E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</w:t>
            </w:r>
          </w:p>
        </w:tc>
        <w:tc>
          <w:tcPr>
            <w:tcW w:w="1643" w:type="dxa"/>
            <w:vAlign w:val="bottom"/>
          </w:tcPr>
          <w:p w14:paraId="4FA299EC" w14:textId="5E1684B2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1.40E-10</w:t>
            </w:r>
          </w:p>
        </w:tc>
      </w:tr>
      <w:tr w:rsidR="000126A5" w14:paraId="653C991D" w14:textId="77777777" w:rsidTr="00335888">
        <w:tc>
          <w:tcPr>
            <w:tcW w:w="2110" w:type="dxa"/>
          </w:tcPr>
          <w:p w14:paraId="5A95AA69" w14:textId="246FC018" w:rsidR="000126A5" w:rsidRDefault="000126A5" w:rsidP="000126A5">
            <w:pPr>
              <w:jc w:val="both"/>
            </w:pPr>
            <w:r>
              <w:t>MN2</w:t>
            </w:r>
          </w:p>
        </w:tc>
        <w:tc>
          <w:tcPr>
            <w:tcW w:w="1867" w:type="dxa"/>
            <w:vAlign w:val="bottom"/>
          </w:tcPr>
          <w:p w14:paraId="3AB77355" w14:textId="6EF693C2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4E-06</w:t>
            </w:r>
          </w:p>
        </w:tc>
        <w:tc>
          <w:tcPr>
            <w:tcW w:w="1839" w:type="dxa"/>
            <w:vAlign w:val="bottom"/>
          </w:tcPr>
          <w:p w14:paraId="2AD06104" w14:textId="6ECB8273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3.50E-07</w:t>
            </w:r>
          </w:p>
        </w:tc>
        <w:tc>
          <w:tcPr>
            <w:tcW w:w="1891" w:type="dxa"/>
            <w:vAlign w:val="bottom"/>
          </w:tcPr>
          <w:p w14:paraId="1726A7D4" w14:textId="435F2C11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</w:t>
            </w:r>
          </w:p>
        </w:tc>
        <w:tc>
          <w:tcPr>
            <w:tcW w:w="1643" w:type="dxa"/>
            <w:vAlign w:val="bottom"/>
          </w:tcPr>
          <w:p w14:paraId="41012D88" w14:textId="52F7361C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1.40E-10</w:t>
            </w:r>
          </w:p>
        </w:tc>
      </w:tr>
      <w:tr w:rsidR="000126A5" w14:paraId="40307C70" w14:textId="77777777" w:rsidTr="00335888">
        <w:tc>
          <w:tcPr>
            <w:tcW w:w="2110" w:type="dxa"/>
          </w:tcPr>
          <w:p w14:paraId="60CADE27" w14:textId="3F742D01" w:rsidR="000126A5" w:rsidRDefault="000126A5" w:rsidP="000126A5">
            <w:pPr>
              <w:jc w:val="both"/>
            </w:pPr>
            <w:r>
              <w:t>MP1</w:t>
            </w:r>
          </w:p>
        </w:tc>
        <w:tc>
          <w:tcPr>
            <w:tcW w:w="1867" w:type="dxa"/>
            <w:vAlign w:val="bottom"/>
          </w:tcPr>
          <w:p w14:paraId="61B9583B" w14:textId="7070EC06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4E-06</w:t>
            </w:r>
          </w:p>
        </w:tc>
        <w:tc>
          <w:tcPr>
            <w:tcW w:w="1839" w:type="dxa"/>
            <w:vAlign w:val="bottom"/>
          </w:tcPr>
          <w:p w14:paraId="1E7AB603" w14:textId="2934F814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3.50E-07</w:t>
            </w:r>
          </w:p>
        </w:tc>
        <w:tc>
          <w:tcPr>
            <w:tcW w:w="1891" w:type="dxa"/>
            <w:vAlign w:val="bottom"/>
          </w:tcPr>
          <w:p w14:paraId="64A55E1D" w14:textId="0C070546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400</w:t>
            </w:r>
          </w:p>
        </w:tc>
        <w:tc>
          <w:tcPr>
            <w:tcW w:w="1643" w:type="dxa"/>
            <w:vAlign w:val="bottom"/>
          </w:tcPr>
          <w:p w14:paraId="37187440" w14:textId="68688D7C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5.60E-10</w:t>
            </w:r>
          </w:p>
        </w:tc>
      </w:tr>
      <w:tr w:rsidR="000126A5" w14:paraId="04FC54AE" w14:textId="77777777" w:rsidTr="00335888">
        <w:tc>
          <w:tcPr>
            <w:tcW w:w="2110" w:type="dxa"/>
          </w:tcPr>
          <w:p w14:paraId="1F22AF94" w14:textId="08441593" w:rsidR="000126A5" w:rsidRDefault="000126A5" w:rsidP="000126A5">
            <w:pPr>
              <w:jc w:val="both"/>
            </w:pPr>
            <w:r>
              <w:t>MP2</w:t>
            </w:r>
          </w:p>
        </w:tc>
        <w:tc>
          <w:tcPr>
            <w:tcW w:w="1867" w:type="dxa"/>
            <w:vAlign w:val="bottom"/>
          </w:tcPr>
          <w:p w14:paraId="10B680E8" w14:textId="36FB4056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4E-06</w:t>
            </w:r>
          </w:p>
        </w:tc>
        <w:tc>
          <w:tcPr>
            <w:tcW w:w="1839" w:type="dxa"/>
            <w:vAlign w:val="bottom"/>
          </w:tcPr>
          <w:p w14:paraId="447C0A57" w14:textId="443F3271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3.50E-07</w:t>
            </w:r>
          </w:p>
        </w:tc>
        <w:tc>
          <w:tcPr>
            <w:tcW w:w="1891" w:type="dxa"/>
            <w:vAlign w:val="bottom"/>
          </w:tcPr>
          <w:p w14:paraId="65A57F13" w14:textId="46A42313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400</w:t>
            </w:r>
          </w:p>
        </w:tc>
        <w:tc>
          <w:tcPr>
            <w:tcW w:w="1643" w:type="dxa"/>
            <w:vAlign w:val="bottom"/>
          </w:tcPr>
          <w:p w14:paraId="1908E315" w14:textId="00705ADC" w:rsidR="000126A5" w:rsidRDefault="000126A5" w:rsidP="000126A5">
            <w:pPr>
              <w:jc w:val="both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5.60E-10</w:t>
            </w:r>
          </w:p>
        </w:tc>
      </w:tr>
      <w:tr w:rsidR="00556728" w14:paraId="0C6012C0" w14:textId="77777777" w:rsidTr="00335888">
        <w:tc>
          <w:tcPr>
            <w:tcW w:w="2110" w:type="dxa"/>
          </w:tcPr>
          <w:p w14:paraId="69997408" w14:textId="77777777" w:rsidR="00556728" w:rsidRDefault="00556728" w:rsidP="00E9459C">
            <w:pPr>
              <w:jc w:val="both"/>
            </w:pPr>
          </w:p>
        </w:tc>
        <w:tc>
          <w:tcPr>
            <w:tcW w:w="1867" w:type="dxa"/>
            <w:vAlign w:val="bottom"/>
          </w:tcPr>
          <w:p w14:paraId="3F054730" w14:textId="77777777" w:rsidR="00556728" w:rsidRDefault="00556728" w:rsidP="00E9459C">
            <w:pPr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39" w:type="dxa"/>
            <w:vAlign w:val="bottom"/>
          </w:tcPr>
          <w:p w14:paraId="4888CA5D" w14:textId="77777777" w:rsidR="00556728" w:rsidRDefault="00556728" w:rsidP="00E9459C">
            <w:pPr>
              <w:jc w:val="both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1" w:type="dxa"/>
            <w:vAlign w:val="bottom"/>
          </w:tcPr>
          <w:p w14:paraId="42C82807" w14:textId="77777777" w:rsidR="00556728" w:rsidRPr="00556728" w:rsidRDefault="00556728" w:rsidP="00E9459C">
            <w:pPr>
              <w:jc w:val="both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556728">
              <w:rPr>
                <w:rFonts w:ascii="Calibri" w:hAnsi="Calibri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643" w:type="dxa"/>
            <w:vAlign w:val="bottom"/>
          </w:tcPr>
          <w:p w14:paraId="13B47102" w14:textId="75E306CC" w:rsidR="00556728" w:rsidRPr="00556728" w:rsidRDefault="00F95999" w:rsidP="00E9459C">
            <w:pPr>
              <w:jc w:val="both"/>
              <w:rPr>
                <w:rFonts w:ascii="Calibri" w:hAnsi="Calibri"/>
                <w:b/>
                <w:bCs/>
                <w:color w:val="000000"/>
                <w:szCs w:val="22"/>
                <w:vertAlign w:val="superscript"/>
              </w:rPr>
            </w:pPr>
            <w:r>
              <w:rPr>
                <w:rFonts w:ascii="Calibri" w:hAnsi="Calibri"/>
                <w:b/>
                <w:bCs/>
                <w:color w:val="000000"/>
                <w:szCs w:val="22"/>
              </w:rPr>
              <w:t>0.0014</w:t>
            </w:r>
            <w:r w:rsidR="00556728" w:rsidRPr="00556728">
              <w:rPr>
                <w:rFonts w:ascii="Calibri" w:hAnsi="Calibri"/>
                <w:b/>
                <w:bCs/>
                <w:color w:val="000000"/>
                <w:szCs w:val="22"/>
              </w:rPr>
              <w:t>mm</w:t>
            </w:r>
            <w:r w:rsidR="00556728" w:rsidRPr="00556728">
              <w:rPr>
                <w:rFonts w:ascii="Calibri" w:hAnsi="Calibri"/>
                <w:b/>
                <w:bCs/>
                <w:color w:val="000000"/>
                <w:szCs w:val="22"/>
                <w:vertAlign w:val="superscript"/>
              </w:rPr>
              <w:t>2</w:t>
            </w:r>
          </w:p>
        </w:tc>
      </w:tr>
    </w:tbl>
    <w:p w14:paraId="5CBC0BFE" w14:textId="77777777" w:rsidR="008D41F3" w:rsidRDefault="008D41F3" w:rsidP="00E9459C">
      <w:pPr>
        <w:jc w:val="both"/>
      </w:pPr>
    </w:p>
    <w:p w14:paraId="73E6C509" w14:textId="77777777" w:rsidR="00A75E93" w:rsidRDefault="00A75E93" w:rsidP="00E9459C">
      <w:pPr>
        <w:jc w:val="both"/>
        <w:rPr>
          <w:rFonts w:eastAsiaTheme="minorEastAsia"/>
        </w:rPr>
      </w:pPr>
    </w:p>
    <w:p w14:paraId="1D7A39B1" w14:textId="77777777" w:rsidR="00A75E93" w:rsidRDefault="00A75E93" w:rsidP="00E9459C">
      <w:pPr>
        <w:jc w:val="both"/>
        <w:rPr>
          <w:rFonts w:eastAsiaTheme="minorEastAsia"/>
        </w:rPr>
      </w:pPr>
    </w:p>
    <w:p w14:paraId="26A2CFAF" w14:textId="77777777" w:rsidR="00A75E93" w:rsidRDefault="00A75E93" w:rsidP="00E9459C">
      <w:pPr>
        <w:jc w:val="both"/>
        <w:rPr>
          <w:rFonts w:eastAsiaTheme="minorEastAsia"/>
        </w:rPr>
      </w:pPr>
    </w:p>
    <w:p w14:paraId="3524EA9D" w14:textId="2C327442" w:rsidR="00212C19" w:rsidRDefault="00212C19" w:rsidP="00E9459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First, for </w:t>
      </w:r>
      <w:r w:rsidR="00F95999">
        <w:rPr>
          <w:rFonts w:eastAsiaTheme="minorEastAsia"/>
        </w:rPr>
        <w:t xml:space="preserve">the switch </w:t>
      </w:r>
      <w:r>
        <w:rPr>
          <w:rFonts w:eastAsiaTheme="minorEastAsia"/>
        </w:rPr>
        <w:t xml:space="preserve">transistor, based on </w:t>
      </w:r>
      <w:r w:rsidR="00F95999">
        <w:rPr>
          <w:rFonts w:eastAsiaTheme="minorEastAsia"/>
        </w:rPr>
        <w:t xml:space="preserve">the peak </w:t>
      </w:r>
      <w:r>
        <w:rPr>
          <w:rFonts w:eastAsiaTheme="minorEastAsia"/>
        </w:rPr>
        <w:t>load</w:t>
      </w:r>
      <w:r w:rsidR="00E72740">
        <w:rPr>
          <w:rFonts w:eastAsiaTheme="minorEastAsia"/>
        </w:rPr>
        <w:t xml:space="preserve"> current </w:t>
      </w:r>
      <w:r w:rsidR="00F95999">
        <w:rPr>
          <w:rFonts w:eastAsiaTheme="minorEastAsia"/>
        </w:rPr>
        <w:t xml:space="preserve">and drain-source voltage </w:t>
      </w:r>
      <w:r>
        <w:rPr>
          <w:rFonts w:eastAsiaTheme="minorEastAsia"/>
        </w:rPr>
        <w:t xml:space="preserve">extremes, the </w:t>
      </w:r>
      <w:r w:rsidR="00F95999">
        <w:rPr>
          <w:rFonts w:eastAsiaTheme="minorEastAsia"/>
        </w:rPr>
        <w:t>sizing is decided.</w:t>
      </w:r>
    </w:p>
    <w:p w14:paraId="64494C9E" w14:textId="5E409D27" w:rsidR="001968C4" w:rsidRPr="00F95999" w:rsidRDefault="0013591C" w:rsidP="00E9459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2AE4E743" w14:textId="79CCD523" w:rsidR="00F95999" w:rsidRDefault="00E72740" w:rsidP="00E9459C">
      <w:pPr>
        <w:jc w:val="both"/>
        <w:rPr>
          <w:rFonts w:eastAsiaTheme="minorEastAsia"/>
        </w:rPr>
      </w:pPr>
      <w:r>
        <w:rPr>
          <w:rFonts w:eastAsiaTheme="minorEastAsia"/>
        </w:rPr>
        <w:t>Here, a drop of 25 mV and 2 mA peak current is assumed across all switches. The overdrive is assumed to be 0.7 V. The clock signal peaks are at 1.4 V, but the gate sees 1.4 V plus the voltage on the pumping capacitors. This adds to the advantage of this charge pump design. The sizing is chosen to allow common centroid layout.</w:t>
      </w:r>
    </w:p>
    <w:p w14:paraId="42199607" w14:textId="77777777" w:rsidR="00A75E93" w:rsidRDefault="00A75E93" w:rsidP="00E9459C">
      <w:pPr>
        <w:jc w:val="both"/>
        <w:rPr>
          <w:rFonts w:eastAsiaTheme="minorEastAsia"/>
        </w:rPr>
      </w:pPr>
    </w:p>
    <w:p w14:paraId="4B463438" w14:textId="34EAAA22" w:rsidR="00F95999" w:rsidRDefault="00F95999" w:rsidP="00E9459C">
      <w:pPr>
        <w:jc w:val="both"/>
        <w:rPr>
          <w:b/>
          <w:bCs/>
        </w:rPr>
      </w:pPr>
      <w:r>
        <w:rPr>
          <w:b/>
          <w:bCs/>
        </w:rPr>
        <w:t>P</w:t>
      </w:r>
      <w:r w:rsidR="00E72740">
        <w:rPr>
          <w:b/>
          <w:bCs/>
        </w:rPr>
        <w:t>umping c</w:t>
      </w:r>
      <w:r>
        <w:rPr>
          <w:b/>
          <w:bCs/>
        </w:rPr>
        <w:t>apacitors</w:t>
      </w:r>
      <w:r w:rsidR="00E72740">
        <w:rPr>
          <w:b/>
          <w:bCs/>
        </w:rPr>
        <w:t xml:space="preserve"> and conversion gain</w:t>
      </w:r>
    </w:p>
    <w:p w14:paraId="5F1397E2" w14:textId="4B090BEF" w:rsidR="00E72740" w:rsidRDefault="00E72740" w:rsidP="00E9459C">
      <w:pPr>
        <w:jc w:val="both"/>
      </w:pPr>
      <w:r>
        <w:t xml:space="preserve">The conversion gain of this charge pump is expressed by </w:t>
      </w:r>
    </w:p>
    <w:p w14:paraId="351BA1E9" w14:textId="51205244" w:rsidR="00E72740" w:rsidRDefault="00E72740" w:rsidP="00E9459C">
      <w:pPr>
        <w:jc w:val="bot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CG=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den>
          </m:f>
        </m:oMath>
      </m:oMathPara>
    </w:p>
    <w:p w14:paraId="487FE56E" w14:textId="302A61EA" w:rsidR="00E53FF6" w:rsidRDefault="00E72740" w:rsidP="00E9459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given problem, the conversion gain is 2, thus the denominator of the above equation should be close to 1. Assume CG = 1.964, i.e. output voltage of </w:t>
      </w:r>
      <w:r w:rsidRPr="00E53FF6">
        <w:rPr>
          <w:rFonts w:eastAsiaTheme="minorEastAsia"/>
          <w:b/>
          <w:bCs/>
        </w:rPr>
        <w:t>2.75 V</w:t>
      </w:r>
      <w:r>
        <w:rPr>
          <w:rFonts w:eastAsiaTheme="minorEastAsia"/>
        </w:rPr>
        <w:t>.</w:t>
      </w:r>
      <w:r w:rsidR="00E53FF6">
        <w:rPr>
          <w:rFonts w:eastAsiaTheme="minorEastAsia"/>
        </w:rPr>
        <w:t xml:space="preserve"> Assume switching frequency of 100 kHz.</w:t>
      </w:r>
      <w:r>
        <w:rPr>
          <w:rFonts w:eastAsiaTheme="minorEastAsia"/>
        </w:rPr>
        <w:t xml:space="preserve"> Als</w:t>
      </w:r>
      <w:r w:rsidR="00E53FF6">
        <w:rPr>
          <w:rFonts w:eastAsiaTheme="minorEastAsia"/>
        </w:rPr>
        <w:t>o, for worst case output resistance</w:t>
      </w:r>
    </w:p>
    <w:p w14:paraId="6000E447" w14:textId="5C6FEC86" w:rsidR="00E72740" w:rsidRPr="00E53FF6" w:rsidRDefault="0013591C" w:rsidP="00E9459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mA</m:t>
              </m:r>
            </m:den>
          </m:f>
          <m:r>
            <w:rPr>
              <w:rFonts w:ascii="Cambria Math" w:eastAsiaTheme="minorEastAsia" w:hAnsi="Cambria Math"/>
            </w:rPr>
            <m:t xml:space="preserve">=2750 </m:t>
          </m:r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61D6B670" w14:textId="00DE0E07" w:rsidR="00E53FF6" w:rsidRDefault="00E53FF6" w:rsidP="00E9459C">
      <w:pPr>
        <w:jc w:val="both"/>
        <w:rPr>
          <w:rFonts w:eastAsiaTheme="minorEastAsia"/>
        </w:rPr>
      </w:pPr>
      <w:r>
        <w:rPr>
          <w:rFonts w:eastAsiaTheme="minorEastAsia"/>
        </w:rPr>
        <w:t>Using</w:t>
      </w:r>
      <w:bookmarkStart w:id="0" w:name="_GoBack"/>
      <w:bookmarkEnd w:id="0"/>
      <w:r>
        <w:rPr>
          <w:rFonts w:eastAsiaTheme="minorEastAsia"/>
        </w:rPr>
        <w:t xml:space="preserve"> above values, we find the pumping capacitor value of 101 nF, which can be rounded off to </w:t>
      </w:r>
      <w:r w:rsidRPr="00E53FF6">
        <w:rPr>
          <w:rFonts w:eastAsiaTheme="minorEastAsia"/>
          <w:b/>
          <w:bCs/>
        </w:rPr>
        <w:t>100 nF</w:t>
      </w:r>
      <w:r>
        <w:rPr>
          <w:rFonts w:eastAsiaTheme="minorEastAsia"/>
        </w:rPr>
        <w:t>.</w:t>
      </w:r>
    </w:p>
    <w:p w14:paraId="61CCDC3C" w14:textId="51D77E51" w:rsidR="00A75E93" w:rsidRDefault="00A75E93" w:rsidP="00E9459C">
      <w:pPr>
        <w:jc w:val="both"/>
        <w:rPr>
          <w:rFonts w:eastAsiaTheme="minorEastAsia"/>
        </w:rPr>
      </w:pPr>
    </w:p>
    <w:p w14:paraId="5315B9C0" w14:textId="77777777" w:rsidR="00A75E93" w:rsidRDefault="00A75E93" w:rsidP="00E9459C">
      <w:pPr>
        <w:jc w:val="both"/>
        <w:rPr>
          <w:rFonts w:eastAsiaTheme="minorEastAsia"/>
        </w:rPr>
      </w:pPr>
    </w:p>
    <w:p w14:paraId="47A6F087" w14:textId="1824546D" w:rsidR="00F95999" w:rsidRDefault="00F95999" w:rsidP="00E9459C">
      <w:pPr>
        <w:jc w:val="both"/>
        <w:rPr>
          <w:b/>
          <w:bCs/>
        </w:rPr>
      </w:pPr>
      <w:r>
        <w:rPr>
          <w:b/>
          <w:bCs/>
        </w:rPr>
        <w:t>Output Capacitor</w:t>
      </w:r>
      <w:r w:rsidR="00E53FF6">
        <w:rPr>
          <w:b/>
          <w:bCs/>
        </w:rPr>
        <w:t xml:space="preserve"> and output ripple</w:t>
      </w:r>
    </w:p>
    <w:p w14:paraId="1918E27D" w14:textId="3146C79F" w:rsidR="00E53FF6" w:rsidRDefault="00E53FF6" w:rsidP="00E9459C">
      <w:pPr>
        <w:jc w:val="both"/>
      </w:pPr>
      <w:r>
        <w:t xml:space="preserve">As per specification, we target a 10-mV ripple. </w:t>
      </w:r>
      <w:r w:rsidR="00E9459C">
        <w:t xml:space="preserve">The below equation holds because both phases of the clock allow discharge of the pumping capacitors. This ensures that there are no ESR jumps in the output voltage waveform. </w:t>
      </w:r>
      <w:r>
        <w:t>Solving below equation for max load of 1 mA and switching frequency of 100 kHz</w:t>
      </w:r>
      <w:r w:rsidR="00AA0618">
        <w:t>, we get a minimum</w:t>
      </w:r>
      <w:r>
        <w:t xml:space="preserve"> output capacitor of </w:t>
      </w:r>
      <w:r w:rsidR="00E9459C" w:rsidRPr="00E9459C">
        <w:rPr>
          <w:b/>
          <w:bCs/>
        </w:rPr>
        <w:t>470nF</w:t>
      </w:r>
      <w:r w:rsidR="00E9459C">
        <w:t>.</w:t>
      </w:r>
    </w:p>
    <w:p w14:paraId="440E2230" w14:textId="1D94B946" w:rsidR="00E53FF6" w:rsidRDefault="00E53FF6" w:rsidP="00E9459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57963131" w14:textId="77777777" w:rsidR="007E5591" w:rsidRDefault="007E5591" w:rsidP="00E9459C">
      <w:pPr>
        <w:jc w:val="both"/>
        <w:rPr>
          <w:b/>
          <w:bCs/>
        </w:rPr>
      </w:pPr>
    </w:p>
    <w:p w14:paraId="370854A6" w14:textId="77777777" w:rsidR="007E5591" w:rsidRDefault="007E5591" w:rsidP="00E9459C">
      <w:pPr>
        <w:jc w:val="both"/>
        <w:rPr>
          <w:b/>
          <w:bCs/>
        </w:rPr>
      </w:pPr>
    </w:p>
    <w:p w14:paraId="3974A2FD" w14:textId="77777777" w:rsidR="007E5591" w:rsidRDefault="007E5591" w:rsidP="00E9459C">
      <w:pPr>
        <w:jc w:val="both"/>
        <w:rPr>
          <w:b/>
          <w:bCs/>
        </w:rPr>
      </w:pPr>
    </w:p>
    <w:p w14:paraId="626C92A6" w14:textId="77777777" w:rsidR="007E5591" w:rsidRDefault="007E5591" w:rsidP="00E9459C">
      <w:pPr>
        <w:jc w:val="both"/>
        <w:rPr>
          <w:b/>
          <w:bCs/>
        </w:rPr>
      </w:pPr>
    </w:p>
    <w:p w14:paraId="74AB1FAE" w14:textId="77777777" w:rsidR="007E5591" w:rsidRDefault="007E5591" w:rsidP="00E9459C">
      <w:pPr>
        <w:jc w:val="both"/>
        <w:rPr>
          <w:b/>
          <w:bCs/>
        </w:rPr>
      </w:pPr>
    </w:p>
    <w:p w14:paraId="363A8209" w14:textId="08EF02AB" w:rsidR="00E53FF6" w:rsidRDefault="00E53FF6" w:rsidP="00E9459C">
      <w:pPr>
        <w:jc w:val="both"/>
        <w:rPr>
          <w:b/>
          <w:bCs/>
        </w:rPr>
      </w:pPr>
      <w:r>
        <w:rPr>
          <w:b/>
          <w:bCs/>
        </w:rPr>
        <w:lastRenderedPageBreak/>
        <w:t>Circuit</w:t>
      </w:r>
    </w:p>
    <w:p w14:paraId="34E52E16" w14:textId="7E128967" w:rsidR="00E53FF6" w:rsidRDefault="007E5591" w:rsidP="00E9459C">
      <w:pPr>
        <w:jc w:val="both"/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2032CD05" wp14:editId="3068661C">
            <wp:extent cx="7258050" cy="4929264"/>
            <wp:effectExtent l="254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 detail="1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60935" cy="49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87D8" w14:textId="77777777" w:rsidR="00A75E93" w:rsidRDefault="00A75E93" w:rsidP="00E9459C">
      <w:pPr>
        <w:jc w:val="both"/>
        <w:rPr>
          <w:b/>
          <w:bCs/>
        </w:rPr>
      </w:pPr>
    </w:p>
    <w:p w14:paraId="02A8736C" w14:textId="77777777" w:rsidR="00A75E93" w:rsidRDefault="00A75E93">
      <w:pPr>
        <w:rPr>
          <w:b/>
          <w:bCs/>
        </w:rPr>
      </w:pPr>
      <w:r>
        <w:rPr>
          <w:b/>
          <w:bCs/>
        </w:rPr>
        <w:br w:type="page"/>
      </w:r>
    </w:p>
    <w:p w14:paraId="4E1FEA9B" w14:textId="021F37B3" w:rsidR="009B2C5C" w:rsidRDefault="007E5591" w:rsidP="00E9459C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Steady State </w:t>
      </w:r>
      <w:r w:rsidR="00F95999">
        <w:rPr>
          <w:b/>
          <w:bCs/>
        </w:rPr>
        <w:t>Waveforms</w:t>
      </w:r>
    </w:p>
    <w:p w14:paraId="56A9B114" w14:textId="5EB87798" w:rsidR="007E5591" w:rsidRDefault="007E5591" w:rsidP="00E9459C">
      <w:pPr>
        <w:jc w:val="both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08C021C8" wp14:editId="39782157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E3B3" w14:textId="68318E34" w:rsidR="007E5591" w:rsidRDefault="00A75E93" w:rsidP="00E9459C">
      <w:pPr>
        <w:jc w:val="both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50295135" wp14:editId="6D4B34CD">
            <wp:extent cx="5912968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081"/>
                    <a:stretch/>
                  </pic:blipFill>
                  <pic:spPr bwMode="auto">
                    <a:xfrm>
                      <a:off x="0" y="0"/>
                      <a:ext cx="5932085" cy="386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2A4EF" w14:textId="77777777" w:rsidR="007E5591" w:rsidRDefault="007E5591" w:rsidP="00E9459C">
      <w:pPr>
        <w:jc w:val="both"/>
        <w:rPr>
          <w:b/>
          <w:bCs/>
        </w:rPr>
      </w:pPr>
    </w:p>
    <w:sectPr w:rsidR="007E559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36A4C" w14:textId="77777777" w:rsidR="000F568B" w:rsidRDefault="000F568B" w:rsidP="009B2C5C">
      <w:pPr>
        <w:spacing w:after="0" w:line="240" w:lineRule="auto"/>
      </w:pPr>
      <w:r>
        <w:separator/>
      </w:r>
    </w:p>
  </w:endnote>
  <w:endnote w:type="continuationSeparator" w:id="0">
    <w:p w14:paraId="7111D314" w14:textId="77777777" w:rsidR="000F568B" w:rsidRDefault="000F568B" w:rsidP="009B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7A5A4" w14:textId="77777777" w:rsidR="000F568B" w:rsidRDefault="000F568B" w:rsidP="009B2C5C">
      <w:pPr>
        <w:spacing w:after="0" w:line="240" w:lineRule="auto"/>
      </w:pPr>
      <w:r>
        <w:separator/>
      </w:r>
    </w:p>
  </w:footnote>
  <w:footnote w:type="continuationSeparator" w:id="0">
    <w:p w14:paraId="114A6B4F" w14:textId="77777777" w:rsidR="000F568B" w:rsidRDefault="000F568B" w:rsidP="009B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182961"/>
      <w:docPartObj>
        <w:docPartGallery w:val="Page Numbers (Margins)"/>
        <w:docPartUnique/>
      </w:docPartObj>
    </w:sdtPr>
    <w:sdtEndPr/>
    <w:sdtContent>
      <w:p w14:paraId="6221C720" w14:textId="77777777" w:rsidR="009B2C5C" w:rsidRDefault="009B2C5C">
        <w:pPr>
          <w:pStyle w:val="Head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18992" w14:textId="41B96222" w:rsidR="009B2C5C" w:rsidRDefault="009B2C5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separate"/>
                              </w:r>
                              <w:r w:rsidR="0013591C" w:rsidRPr="001359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mv6aFr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6BE18992" w14:textId="41B96222" w:rsidR="009B2C5C" w:rsidRDefault="009B2C5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separate"/>
                        </w:r>
                        <w:r w:rsidR="0013591C" w:rsidRPr="0013591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F3"/>
    <w:rsid w:val="000043AD"/>
    <w:rsid w:val="000126A5"/>
    <w:rsid w:val="000167C6"/>
    <w:rsid w:val="00023484"/>
    <w:rsid w:val="0004461D"/>
    <w:rsid w:val="00045080"/>
    <w:rsid w:val="00091DE4"/>
    <w:rsid w:val="000C4587"/>
    <w:rsid w:val="000E063E"/>
    <w:rsid w:val="000F568B"/>
    <w:rsid w:val="0013591C"/>
    <w:rsid w:val="001968C4"/>
    <w:rsid w:val="001A7E35"/>
    <w:rsid w:val="001C187D"/>
    <w:rsid w:val="001D1888"/>
    <w:rsid w:val="001F57BC"/>
    <w:rsid w:val="0021129A"/>
    <w:rsid w:val="00212C19"/>
    <w:rsid w:val="00245635"/>
    <w:rsid w:val="00320C8C"/>
    <w:rsid w:val="003A0F9F"/>
    <w:rsid w:val="003C2709"/>
    <w:rsid w:val="00423B87"/>
    <w:rsid w:val="004E1567"/>
    <w:rsid w:val="004E3953"/>
    <w:rsid w:val="005466DB"/>
    <w:rsid w:val="00556728"/>
    <w:rsid w:val="0057095F"/>
    <w:rsid w:val="00594AED"/>
    <w:rsid w:val="005D6BB0"/>
    <w:rsid w:val="005F2A61"/>
    <w:rsid w:val="006C0E18"/>
    <w:rsid w:val="006D49CF"/>
    <w:rsid w:val="006E5604"/>
    <w:rsid w:val="00705650"/>
    <w:rsid w:val="00764983"/>
    <w:rsid w:val="007A59D4"/>
    <w:rsid w:val="007C7DB6"/>
    <w:rsid w:val="007E5591"/>
    <w:rsid w:val="00862A4F"/>
    <w:rsid w:val="008729AE"/>
    <w:rsid w:val="008812E0"/>
    <w:rsid w:val="008A061F"/>
    <w:rsid w:val="008D0C82"/>
    <w:rsid w:val="008D41F3"/>
    <w:rsid w:val="00914220"/>
    <w:rsid w:val="0098508B"/>
    <w:rsid w:val="009B2C5C"/>
    <w:rsid w:val="00A01C58"/>
    <w:rsid w:val="00A0734D"/>
    <w:rsid w:val="00A26E28"/>
    <w:rsid w:val="00A70AAA"/>
    <w:rsid w:val="00A75E93"/>
    <w:rsid w:val="00AA0618"/>
    <w:rsid w:val="00B41D69"/>
    <w:rsid w:val="00B50A0D"/>
    <w:rsid w:val="00B703ED"/>
    <w:rsid w:val="00BB7386"/>
    <w:rsid w:val="00BF0C8A"/>
    <w:rsid w:val="00BF4E8C"/>
    <w:rsid w:val="00C52888"/>
    <w:rsid w:val="00CD3E13"/>
    <w:rsid w:val="00CE29E4"/>
    <w:rsid w:val="00CF63B4"/>
    <w:rsid w:val="00D05533"/>
    <w:rsid w:val="00D26AD5"/>
    <w:rsid w:val="00D33E93"/>
    <w:rsid w:val="00D34291"/>
    <w:rsid w:val="00DB6BAC"/>
    <w:rsid w:val="00DE04AE"/>
    <w:rsid w:val="00E34604"/>
    <w:rsid w:val="00E53FF6"/>
    <w:rsid w:val="00E72740"/>
    <w:rsid w:val="00E9459C"/>
    <w:rsid w:val="00EB1929"/>
    <w:rsid w:val="00F01561"/>
    <w:rsid w:val="00F02E5D"/>
    <w:rsid w:val="00F55A00"/>
    <w:rsid w:val="00F95999"/>
    <w:rsid w:val="00FB2C69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B67FA4"/>
  <w15:chartTrackingRefBased/>
  <w15:docId w15:val="{2D5F5A1D-9588-4D53-99EC-8B8E5AF9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D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C5C"/>
  </w:style>
  <w:style w:type="paragraph" w:styleId="Footer">
    <w:name w:val="footer"/>
    <w:basedOn w:val="Normal"/>
    <w:link w:val="FooterChar"/>
    <w:uiPriority w:val="99"/>
    <w:unhideWhenUsed/>
    <w:rsid w:val="009B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Devangsingh Sankhala</dc:creator>
  <cp:keywords/>
  <dc:description/>
  <cp:lastModifiedBy>Sankhala, Devangsingh Gajendarsingh</cp:lastModifiedBy>
  <cp:revision>14</cp:revision>
  <dcterms:created xsi:type="dcterms:W3CDTF">2017-03-25T06:20:00Z</dcterms:created>
  <dcterms:modified xsi:type="dcterms:W3CDTF">2017-03-28T19:45:00Z</dcterms:modified>
</cp:coreProperties>
</file>