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</w:p>
  </w:body>
</w:document>
</file>