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
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  <w:r>
        <w:t>• Serve on site team of internal quality auditors. Audit 6 areas per year against ISO:9001 and TS­16949 standards. Interview exempt and non­exempt employees across all shifts.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Gravimetric measurement of binary vapor­-liquid equilibrium curves of ionic liquids with components in flue gas (e.g. CO2, CH4, H2O) as well as N2O.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Facilitated formulation of controlled­-release coating.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  <w:r>
        <w:t>• Supervised 3­-4 production workers per shift in pilot plant operations.</w:t>
      </w:r>
      <w:r>
        <w:br/>
      </w:r>
      <w:r>
        <w:t>• Designed and formulated a novel filtration system capable of 100% toxin removal from contaminated liquids.</w:t>
      </w:r>
      <w:r>
        <w:br/>
      </w:r>
      <w:r>
        <w:t>• Bottled beer (KY Ale, KY Light, KY Bourbon Barrel Ale) at company microbrewery.</w:t>
      </w:r>
      <w:r>
        <w:br/>
      </w:r>
    </w:p>
  </w:body>
</w:document>
</file>