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FC83CC" w14:textId="77777777" w:rsidR="009570F6" w:rsidRDefault="00000000">
      <w:pPr>
        <w:spacing w:after="60"/>
        <w:jc w:val="center"/>
      </w:pPr>
      <w:r>
        <w:rPr>
          <w:rFonts w:ascii="Times New Roman" w:hAnsi="Times New Roman" w:cs="Times New Roman"/>
          <w:b/>
          <w:sz w:val="38"/>
        </w:rPr>
        <w:t>Investment Committee Memorandum: Microsoft Corporation (MSFT)</w:t>
      </w:r>
    </w:p>
    <w:p w14:paraId="52A8B934" w14:textId="77777777" w:rsidR="009570F6" w:rsidRDefault="00000000">
      <w:pPr>
        <w:spacing w:after="100"/>
      </w:pPr>
      <w:r>
        <w:rPr>
          <w:rFonts w:ascii="Times New Roman" w:hAnsi="Times New Roman" w:cs="Times New Roman"/>
          <w:b/>
          <w:sz w:val="32"/>
        </w:rPr>
        <w:t>1. Recommendation &amp; Executive Summary: Watch / Defer</w:t>
      </w:r>
    </w:p>
    <w:p w14:paraId="2DD5D47C" w14:textId="77777777" w:rsidR="009570F6" w:rsidRDefault="00000000">
      <w:pPr>
        <w:spacing w:after="100"/>
        <w:jc w:val="both"/>
      </w:pPr>
      <w:r>
        <w:rPr>
          <w:rFonts w:ascii="Times New Roman" w:hAnsi="Times New Roman" w:cs="Times New Roman"/>
          <w:sz w:val="29"/>
        </w:rPr>
        <w:t>I recommend that the investment committee defer initiating a position in Microsoft Corporation at today's market price of $500.59. After building an integrated five-year financial model, my base Free Cash Flow to Firm (FCFF) DCF yields an intrinsic equity value of $316.63 per share (corner valuation range: $246.49 to $448.76), while my Free Cash Flow to Equity (FCFE) model yields $303.85 per share. At $500.59, Microsoft trades at a 58% premium over its fundamental cash-flow value. Although Microsoft remains a world-class enterprise cloud and AI platform, its annual capital expenditures have surged past $64.5 billion to build out datacenters and GPU infrastructure. Current market multiples price in aggressive, uninterrupted earnings growth while ignoring this massive cash drain. Because there is zero margin of safety today, the fund should keep capital on the sidelines, establish price alerts at $310.00, and audit upcoming Q1 FY2027 disclosures before committing capital.</w:t>
      </w:r>
    </w:p>
    <w:p w14:paraId="7F4575A8" w14:textId="77777777" w:rsidR="009570F6" w:rsidRDefault="00000000">
      <w:pPr>
        <w:spacing w:after="100"/>
      </w:pPr>
      <w:r>
        <w:rPr>
          <w:rFonts w:ascii="Times New Roman" w:hAnsi="Times New Roman" w:cs="Times New Roman"/>
          <w:b/>
          <w:sz w:val="32"/>
        </w:rPr>
        <w:t>2. Comparing Valuation Methods (Why They Disagree Instead of Averaging)</w:t>
      </w:r>
    </w:p>
    <w:p w14:paraId="26BF9B5A" w14:textId="77777777" w:rsidR="009570F6" w:rsidRDefault="00000000">
      <w:pPr>
        <w:spacing w:after="100"/>
        <w:jc w:val="both"/>
      </w:pPr>
      <w:r>
        <w:rPr>
          <w:rFonts w:ascii="Times New Roman" w:hAnsi="Times New Roman" w:cs="Times New Roman"/>
          <w:sz w:val="29"/>
        </w:rPr>
        <w:t>In my corporate finance coursework, I learned that mechanically averaging conflicting valuation methods is an analytical failure. The disagreement between models tells an important economic story about market expectations versus cash reality:</w:t>
      </w:r>
    </w:p>
    <w:p w14:paraId="1FB7A623"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Intrinsic FCFF DCF ($316.63 Base):</w:t>
      </w:r>
      <w:r>
        <w:rPr>
          <w:rFonts w:ascii="Times New Roman" w:hAnsi="Times New Roman" w:cs="Times New Roman"/>
          <w:sz w:val="29"/>
        </w:rPr>
        <w:t xml:space="preserve"> Corner range of $246.49 (Bear: WACC 10.5%, g 2.0%) to $448.76 (Bull: WACC 8.5%, g 4.0%). This model directly deducts all $65.0B in annual cash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required for AI datacenter hardware. Because it measures actual cash generated for investors after all reinvestment, I give it 100% decision weight.</w:t>
      </w:r>
    </w:p>
    <w:p w14:paraId="636D4968"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Free Cash Flow to Equity ($303.85 Base):</w:t>
      </w:r>
      <w:r>
        <w:rPr>
          <w:rFonts w:ascii="Times New Roman" w:hAnsi="Times New Roman" w:cs="Times New Roman"/>
          <w:sz w:val="29"/>
        </w:rPr>
        <w:t xml:space="preserve"> Valuation range of $235.00 to $430.00 per share. Subtracting $3.0B in annual debt </w:t>
      </w:r>
      <w:r>
        <w:rPr>
          <w:rFonts w:ascii="Times New Roman" w:hAnsi="Times New Roman" w:cs="Times New Roman"/>
          <w:sz w:val="29"/>
        </w:rPr>
        <w:lastRenderedPageBreak/>
        <w:t>repayments and net interest shows that pure equity cash flows comfortably support a low-$300s valuation.</w:t>
      </w:r>
    </w:p>
    <w:p w14:paraId="72A5F990"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Peer Multiples Comps ($544.48 Base):</w:t>
      </w:r>
      <w:r>
        <w:rPr>
          <w:rFonts w:ascii="Times New Roman" w:hAnsi="Times New Roman" w:cs="Times New Roman"/>
          <w:sz w:val="29"/>
        </w:rPr>
        <w:t xml:space="preserve"> Using forward P/E multiples from hyperscale cloud peers (Alphabet 41.09x, Oracle 35.24x, Amazon 39.91x), the peer median of 39.91x implies $544.48 per share. This closely matches today's trading price ($500.59) because P/E multiples only price accounting net income. Accounting earnings capitalize physical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and spread depreciation over 3 to 15 years, completely masking the immediate cash drain.</w:t>
      </w:r>
    </w:p>
    <w:p w14:paraId="646400E5"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Reverse DCF (21.6% Organic CAGR):</w:t>
      </w:r>
      <w:r>
        <w:rPr>
          <w:rFonts w:ascii="Times New Roman" w:hAnsi="Times New Roman" w:cs="Times New Roman"/>
          <w:sz w:val="29"/>
        </w:rPr>
        <w:t xml:space="preserve"> To justify today's $500.59 price under cash DCF discipline, Microsoft would need to compound organic revenue at 21.6% every year through FY30 (+8.60 percentage points above my 13.0% base). Enterprise IT budgets cannot realistically support that pace of acceleration.</w:t>
      </w:r>
    </w:p>
    <w:p w14:paraId="6B834D7F" w14:textId="77777777" w:rsidR="009570F6" w:rsidRDefault="00000000">
      <w:pPr>
        <w:spacing w:after="100"/>
      </w:pPr>
      <w:r>
        <w:rPr>
          <w:rFonts w:ascii="Times New Roman" w:hAnsi="Times New Roman" w:cs="Times New Roman"/>
          <w:b/>
          <w:sz w:val="32"/>
        </w:rPr>
        <w:t>3. Audited Form 10-K Baseline Data (Fiscal Year Ended June 30, 2025)</w:t>
      </w:r>
    </w:p>
    <w:p w14:paraId="2740E817" w14:textId="77777777" w:rsidR="009570F6" w:rsidRDefault="00000000">
      <w:pPr>
        <w:spacing w:after="100"/>
        <w:jc w:val="both"/>
      </w:pPr>
      <w:r>
        <w:rPr>
          <w:rFonts w:ascii="Times New Roman" w:hAnsi="Times New Roman" w:cs="Times New Roman"/>
          <w:sz w:val="29"/>
        </w:rPr>
        <w:t>All financial inputs are anchored to Microsoft's audited Form 10-K ended June 30, 2025 (SEC Accession: 0000950170-25-100235) as of September 23, 2026:</w:t>
      </w:r>
    </w:p>
    <w:p w14:paraId="001483DD"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Revenue Baseline:</w:t>
      </w:r>
      <w:r>
        <w:rPr>
          <w:rFonts w:ascii="Times New Roman" w:hAnsi="Times New Roman" w:cs="Times New Roman"/>
          <w:sz w:val="29"/>
        </w:rPr>
        <w:t xml:space="preserve"> FY25 revenue reached $281,724M (+15.0% YoY), led by Microsoft Cloud at $168.9B (+23%) and Azure growing 34% (Item 7 MD&amp;A, pp. 33-38).</w:t>
      </w:r>
    </w:p>
    <w:p w14:paraId="2E137008"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Gross Margin Baseline:</w:t>
      </w:r>
      <w:r>
        <w:rPr>
          <w:rFonts w:ascii="Times New Roman" w:hAnsi="Times New Roman" w:cs="Times New Roman"/>
          <w:sz w:val="29"/>
        </w:rPr>
        <w:t xml:space="preserve"> 68.82% ($193,893M). Management disclosed in MD&amp;A (p. 36) that AI datacenters compressed cloud gross margins by 32 bps. Modeled at 68.50% base.</w:t>
      </w:r>
    </w:p>
    <w:p w14:paraId="3ABDA5F8"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 xml:space="preserve">Cash </w:t>
      </w:r>
      <w:proofErr w:type="spellStart"/>
      <w:r>
        <w:rPr>
          <w:rFonts w:ascii="Times New Roman" w:hAnsi="Times New Roman" w:cs="Times New Roman"/>
          <w:b/>
          <w:sz w:val="29"/>
        </w:rPr>
        <w:t>CapEx</w:t>
      </w:r>
      <w:proofErr w:type="spellEnd"/>
      <w:r>
        <w:rPr>
          <w:rFonts w:ascii="Times New Roman" w:hAnsi="Times New Roman" w:cs="Times New Roman"/>
          <w:b/>
          <w:sz w:val="29"/>
        </w:rPr>
        <w:t xml:space="preserve"> Acceleration:</w:t>
      </w:r>
      <w:r>
        <w:rPr>
          <w:rFonts w:ascii="Times New Roman" w:hAnsi="Times New Roman" w:cs="Times New Roman"/>
          <w:sz w:val="29"/>
        </w:rPr>
        <w:t xml:space="preserve"> Cash additions to PP&amp;E surged to $64,551M in FY25, up from $44,475M in FY24 and $28,107M in FY23 (Item 8 Cash Flows, p. 62). Net physical PP&amp;E doubled to $204.97B in two years.</w:t>
      </w:r>
    </w:p>
    <w:p w14:paraId="1894F203"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Gross Liquidity &amp; Cash Floor:</w:t>
      </w:r>
      <w:r>
        <w:rPr>
          <w:rFonts w:ascii="Times New Roman" w:hAnsi="Times New Roman" w:cs="Times New Roman"/>
          <w:sz w:val="29"/>
        </w:rPr>
        <w:t xml:space="preserve"> Microsoft holds $94,565M in liquid assets ($30,242M cash + $64,323M short-term investments, Note 4). I established an operating cash floor of $15,000M (~20 days of cash </w:t>
      </w:r>
      <w:r>
        <w:rPr>
          <w:rFonts w:ascii="Times New Roman" w:hAnsi="Times New Roman" w:cs="Times New Roman"/>
          <w:sz w:val="29"/>
        </w:rPr>
        <w:lastRenderedPageBreak/>
        <w:t>operating costs), leaving $79,565M in non-operating liquidity for equity claims.</w:t>
      </w:r>
    </w:p>
    <w:p w14:paraId="25152B8B"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Debt Principal &amp; Lease Claims:</w:t>
      </w:r>
      <w:r>
        <w:rPr>
          <w:rFonts w:ascii="Times New Roman" w:hAnsi="Times New Roman" w:cs="Times New Roman"/>
          <w:sz w:val="29"/>
        </w:rPr>
        <w:t xml:space="preserve"> Total debt of $43,151M ($2,999M short-term + $40,152M long-term, </w:t>
      </w:r>
      <w:proofErr w:type="gramStart"/>
      <w:r>
        <w:rPr>
          <w:rFonts w:ascii="Times New Roman" w:hAnsi="Times New Roman" w:cs="Times New Roman"/>
          <w:sz w:val="29"/>
        </w:rPr>
        <w:t>Note</w:t>
      </w:r>
      <w:proofErr w:type="gramEnd"/>
      <w:r>
        <w:rPr>
          <w:rFonts w:ascii="Times New Roman" w:hAnsi="Times New Roman" w:cs="Times New Roman"/>
          <w:sz w:val="29"/>
        </w:rPr>
        <w:t xml:space="preserve"> 10) plus $18,485M in operating lease liabilities under ASC 842 (Note 8).</w:t>
      </w:r>
    </w:p>
    <w:p w14:paraId="38342DCB"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Diluted Share Count:</w:t>
      </w:r>
      <w:r>
        <w:rPr>
          <w:rFonts w:ascii="Times New Roman" w:hAnsi="Times New Roman" w:cs="Times New Roman"/>
          <w:sz w:val="29"/>
        </w:rPr>
        <w:t xml:space="preserve"> 7,465.0M shares (Note 18, p. 94; 7,433M basic + 32M dilutive stock awards). I explicitly avoided the 7,434M basic count on the cover page to prevent per-share value overstatement.</w:t>
      </w:r>
    </w:p>
    <w:p w14:paraId="44CD845C" w14:textId="77777777" w:rsidR="009570F6" w:rsidRDefault="00000000">
      <w:pPr>
        <w:spacing w:after="100"/>
      </w:pPr>
      <w:r>
        <w:rPr>
          <w:rFonts w:ascii="Times New Roman" w:hAnsi="Times New Roman" w:cs="Times New Roman"/>
          <w:b/>
          <w:sz w:val="32"/>
        </w:rPr>
        <w:t>4. Key Model Mechanics, Working Capital Float &amp; Sensitivity</w:t>
      </w:r>
    </w:p>
    <w:p w14:paraId="1B5B9F6E"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Unearned Revenue Float Engine:</w:t>
      </w:r>
      <w:r>
        <w:rPr>
          <w:rFonts w:ascii="Times New Roman" w:hAnsi="Times New Roman" w:cs="Times New Roman"/>
          <w:sz w:val="29"/>
        </w:rPr>
        <w:t xml:space="preserve"> Microsoft carries $64,555M in short-term unearned revenue (22.91% of revenue, Item 8 p. 61). Enterprise clients prepay multi-year software licenses upfront at 0% interest. As revenue expands, these prepayments generate +$8.4B to +$13.7B annually in positive cash float, internally funding ~20% of Microsoft's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program.</w:t>
      </w:r>
    </w:p>
    <w:p w14:paraId="250008EB"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Depreciation Schedule:</w:t>
      </w:r>
      <w:r>
        <w:rPr>
          <w:rFonts w:ascii="Times New Roman" w:hAnsi="Times New Roman" w:cs="Times New Roman"/>
          <w:sz w:val="29"/>
        </w:rPr>
        <w:t xml:space="preserve"> Modeled at 10.73% of opening net PP&amp;E (Note 7, $22.0B on $205.0B PP&amp;E), reflecting a </w:t>
      </w:r>
      <w:proofErr w:type="gramStart"/>
      <w:r>
        <w:rPr>
          <w:rFonts w:ascii="Times New Roman" w:hAnsi="Times New Roman" w:cs="Times New Roman"/>
          <w:sz w:val="29"/>
        </w:rPr>
        <w:t>3 to 5 year</w:t>
      </w:r>
      <w:proofErr w:type="gramEnd"/>
      <w:r>
        <w:rPr>
          <w:rFonts w:ascii="Times New Roman" w:hAnsi="Times New Roman" w:cs="Times New Roman"/>
          <w:sz w:val="29"/>
        </w:rPr>
        <w:t xml:space="preserve"> server lifecycle. Annual depreciation reaches $37.7B by FY30.</w:t>
      </w:r>
    </w:p>
    <w:p w14:paraId="0D62DD91"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Base Pro-Forma Drivers:</w:t>
      </w:r>
      <w:r>
        <w:rPr>
          <w:rFonts w:ascii="Times New Roman" w:hAnsi="Times New Roman" w:cs="Times New Roman"/>
          <w:sz w:val="29"/>
        </w:rPr>
        <w:t xml:space="preserve"> Revenue growth 13.0%/yr; gross margin 68.50%; cash SG&amp;A 22.5% tapering to 21.0% of GP; tax rate 18.0%; annual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flat at $65.0B; WACC 9.50%; terminal growth 3.00% (anchored to nominal U.S. GDP growth).</w:t>
      </w:r>
    </w:p>
    <w:p w14:paraId="24DAAE03"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One-At-A-Time Sensitivity Ranking:</w:t>
      </w:r>
      <w:r>
        <w:rPr>
          <w:rFonts w:ascii="Times New Roman" w:hAnsi="Times New Roman" w:cs="Times New Roman"/>
          <w:sz w:val="29"/>
        </w:rPr>
        <w:t xml:space="preserve"> Revenue growth impacts valuation 4.68x more than gross margin ($110.15/share span across 10-16% growth vs. $23.53/share span across 66.5-70.5% margin) because top-line growth compounds over five years and expands working capital float.</w:t>
      </w:r>
    </w:p>
    <w:p w14:paraId="7452749D"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Enterprise-to-Equity Bridge:</w:t>
      </w:r>
      <w:r>
        <w:rPr>
          <w:rFonts w:ascii="Times New Roman" w:hAnsi="Times New Roman" w:cs="Times New Roman"/>
          <w:sz w:val="29"/>
        </w:rPr>
        <w:t xml:space="preserve"> Enterprise Value ($2,330,739.8M) + Cash ($94,565M) - Operating Floor ($15,000M) - Total Debt ($43,151M) - Leases ($18,485M) = Equity Value of $2,363,668.8M / 7,465.0M shares = $316.63 per share.</w:t>
      </w:r>
    </w:p>
    <w:p w14:paraId="1A50AED6" w14:textId="77777777" w:rsidR="009570F6" w:rsidRDefault="00000000">
      <w:pPr>
        <w:spacing w:after="100"/>
      </w:pPr>
      <w:r>
        <w:rPr>
          <w:rFonts w:ascii="Times New Roman" w:hAnsi="Times New Roman" w:cs="Times New Roman"/>
          <w:b/>
          <w:sz w:val="32"/>
        </w:rPr>
        <w:lastRenderedPageBreak/>
        <w:t>5. Key Downside Risks &amp; Stress Testing</w:t>
      </w:r>
    </w:p>
    <w:p w14:paraId="24500EB4"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GPU Obsolescence &amp; Reinvestment:</w:t>
      </w:r>
      <w:r>
        <w:rPr>
          <w:rFonts w:ascii="Times New Roman" w:hAnsi="Times New Roman" w:cs="Times New Roman"/>
          <w:sz w:val="29"/>
        </w:rPr>
        <w:t xml:space="preserve"> Hyperscale GPU servers face rapid 3-to-</w:t>
      </w:r>
      <w:proofErr w:type="gramStart"/>
      <w:r>
        <w:rPr>
          <w:rFonts w:ascii="Times New Roman" w:hAnsi="Times New Roman" w:cs="Times New Roman"/>
          <w:sz w:val="29"/>
        </w:rPr>
        <w:t>5 year</w:t>
      </w:r>
      <w:proofErr w:type="gramEnd"/>
      <w:r>
        <w:rPr>
          <w:rFonts w:ascii="Times New Roman" w:hAnsi="Times New Roman" w:cs="Times New Roman"/>
          <w:sz w:val="29"/>
        </w:rPr>
        <w:t xml:space="preserve"> replacement cycles. Microsoft must spend billions each year just to maintain compute capacity before earning incremental profits.</w:t>
      </w:r>
    </w:p>
    <w:p w14:paraId="2E50C364"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Cloud Pricing Competition:</w:t>
      </w:r>
      <w:r>
        <w:rPr>
          <w:rFonts w:ascii="Times New Roman" w:hAnsi="Times New Roman" w:cs="Times New Roman"/>
          <w:sz w:val="29"/>
        </w:rPr>
        <w:t xml:space="preserve"> </w:t>
      </w:r>
      <w:proofErr w:type="spellStart"/>
      <w:r>
        <w:rPr>
          <w:rFonts w:ascii="Times New Roman" w:hAnsi="Times New Roman" w:cs="Times New Roman"/>
          <w:sz w:val="29"/>
        </w:rPr>
        <w:t>Hyperscalers</w:t>
      </w:r>
      <w:proofErr w:type="spellEnd"/>
      <w:r>
        <w:rPr>
          <w:rFonts w:ascii="Times New Roman" w:hAnsi="Times New Roman" w:cs="Times New Roman"/>
          <w:sz w:val="29"/>
        </w:rPr>
        <w:t xml:space="preserve"> AWS and Google Cloud are aggressively discounting AI inference pricing. If Microsoft's cloud gross margin slips toward 65.0%, intrinsic equity value drops to $255.77/share under my pro-forma.</w:t>
      </w:r>
    </w:p>
    <w:p w14:paraId="6B64AF6A"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Severe Recession Stress Test:</w:t>
      </w:r>
      <w:r>
        <w:rPr>
          <w:rFonts w:ascii="Times New Roman" w:hAnsi="Times New Roman" w:cs="Times New Roman"/>
          <w:sz w:val="29"/>
        </w:rPr>
        <w:t xml:space="preserve"> I tested a severe recession shock (-5% revenue growth in FY26, 60% gross margin, $85B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surge). FCFE falls by over 60%, forcing a $4.5B draw on the revolving credit facility and lowering value to $142.10/share. The balance sheet balances with an exact $0.0000M gap.</w:t>
      </w:r>
    </w:p>
    <w:p w14:paraId="10AA586B" w14:textId="77777777" w:rsidR="009570F6" w:rsidRDefault="00000000">
      <w:pPr>
        <w:spacing w:after="100"/>
      </w:pPr>
      <w:r>
        <w:rPr>
          <w:rFonts w:ascii="Times New Roman" w:hAnsi="Times New Roman" w:cs="Times New Roman"/>
          <w:b/>
          <w:sz w:val="32"/>
        </w:rPr>
        <w:t>6. Quantitative Action Triggers &amp; Committee Directive</w:t>
      </w:r>
    </w:p>
    <w:p w14:paraId="720EAB5A" w14:textId="77777777" w:rsidR="009570F6" w:rsidRDefault="00000000">
      <w:pPr>
        <w:spacing w:after="100"/>
        <w:jc w:val="both"/>
      </w:pPr>
      <w:r>
        <w:rPr>
          <w:rFonts w:ascii="Times New Roman" w:hAnsi="Times New Roman" w:cs="Times New Roman"/>
          <w:sz w:val="29"/>
        </w:rPr>
        <w:t>To eliminate ambiguity and ensure disciplined monitoring, I define three explicit action triggers:</w:t>
      </w:r>
    </w:p>
    <w:p w14:paraId="37D09B86"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Buy Trigger 1 (Price Pullback):</w:t>
      </w:r>
      <w:r>
        <w:rPr>
          <w:rFonts w:ascii="Times New Roman" w:hAnsi="Times New Roman" w:cs="Times New Roman"/>
          <w:sz w:val="29"/>
        </w:rPr>
        <w:t xml:space="preserve"> Market price falls below $310.00 per share (NASDAQ tape). Action: Initiate Buy. Provides a 20%+ margin of safety relative to peer multiples and converges with intrinsic DCF value.</w:t>
      </w:r>
    </w:p>
    <w:p w14:paraId="58EB38DF"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Buy Trigger 2 (Margin Outperformance):</w:t>
      </w:r>
      <w:r>
        <w:rPr>
          <w:rFonts w:ascii="Times New Roman" w:hAnsi="Times New Roman" w:cs="Times New Roman"/>
          <w:sz w:val="29"/>
        </w:rPr>
        <w:t xml:space="preserve"> Commercial cloud gross margin expands above 72.0% while annual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growth stays below 15% YoY (Form 10-Q). Action: Initiate Buy. Proves high-margin software revenues are outrunning datacenter infrastructure costs.</w:t>
      </w:r>
    </w:p>
    <w:p w14:paraId="52F1B101" w14:textId="77777777" w:rsidR="009570F6" w:rsidRDefault="00000000">
      <w:pPr>
        <w:spacing w:after="60"/>
        <w:ind w:left="720"/>
        <w:jc w:val="both"/>
      </w:pPr>
      <w:r>
        <w:rPr>
          <w:rFonts w:ascii="Times New Roman" w:hAnsi="Times New Roman" w:cs="Times New Roman"/>
          <w:b/>
          <w:sz w:val="29"/>
        </w:rPr>
        <w:tab/>
        <w:t>•</w:t>
      </w:r>
      <w:r>
        <w:rPr>
          <w:rFonts w:ascii="Times New Roman" w:hAnsi="Times New Roman" w:cs="Times New Roman"/>
          <w:b/>
          <w:sz w:val="29"/>
        </w:rPr>
        <w:tab/>
        <w:t>Walk-Away Trigger:</w:t>
      </w:r>
      <w:r>
        <w:rPr>
          <w:rFonts w:ascii="Times New Roman" w:hAnsi="Times New Roman" w:cs="Times New Roman"/>
          <w:sz w:val="29"/>
        </w:rPr>
        <w:t xml:space="preserve"> Annual </w:t>
      </w:r>
      <w:proofErr w:type="spellStart"/>
      <w:r>
        <w:rPr>
          <w:rFonts w:ascii="Times New Roman" w:hAnsi="Times New Roman" w:cs="Times New Roman"/>
          <w:sz w:val="29"/>
        </w:rPr>
        <w:t>CapEx</w:t>
      </w:r>
      <w:proofErr w:type="spellEnd"/>
      <w:r>
        <w:rPr>
          <w:rFonts w:ascii="Times New Roman" w:hAnsi="Times New Roman" w:cs="Times New Roman"/>
          <w:sz w:val="29"/>
        </w:rPr>
        <w:t xml:space="preserve"> exceeds $75.0B while Azure constant-currency growth falls below 15% and gross margins drop below 67.0%. Action: Reject / Remove from Watchlist. Confirms structural return dilution.</w:t>
      </w:r>
    </w:p>
    <w:p w14:paraId="1D206615" w14:textId="77777777" w:rsidR="009570F6" w:rsidRDefault="00000000">
      <w:pPr>
        <w:spacing w:after="60"/>
        <w:ind w:left="720"/>
        <w:jc w:val="both"/>
      </w:pPr>
      <w:r>
        <w:rPr>
          <w:rFonts w:ascii="Times New Roman" w:hAnsi="Times New Roman" w:cs="Times New Roman"/>
          <w:b/>
          <w:sz w:val="29"/>
        </w:rPr>
        <w:lastRenderedPageBreak/>
        <w:tab/>
        <w:t>•</w:t>
      </w:r>
      <w:r>
        <w:rPr>
          <w:rFonts w:ascii="Times New Roman" w:hAnsi="Times New Roman" w:cs="Times New Roman"/>
          <w:b/>
          <w:sz w:val="29"/>
        </w:rPr>
        <w:tab/>
        <w:t>Committee Directive:</w:t>
      </w:r>
      <w:r>
        <w:rPr>
          <w:rFonts w:ascii="Times New Roman" w:hAnsi="Times New Roman" w:cs="Times New Roman"/>
          <w:sz w:val="29"/>
        </w:rPr>
        <w:t xml:space="preserve"> Commit $0 capital today. Set a trading desk alert at $310.00, and audit Microsoft's Q1 FY2027 Form 10-Q when filed in October 2026.</w:t>
      </w:r>
    </w:p>
    <w:p w14:paraId="7EF8EA9F" w14:textId="77777777" w:rsidR="009570F6" w:rsidRDefault="00000000">
      <w:r>
        <w:rPr>
          <w:rFonts w:ascii="Times New Roman" w:hAnsi="Times New Roman" w:cs="Times New Roman"/>
          <w:b/>
          <w:sz w:val="25"/>
        </w:rPr>
        <w:t>Monitoring Cadence &amp; Review Point:</w:t>
      </w:r>
      <w:r>
        <w:rPr>
          <w:rFonts w:ascii="Times New Roman" w:hAnsi="Times New Roman" w:cs="Times New Roman"/>
          <w:sz w:val="25"/>
        </w:rPr>
        <w:t xml:space="preserve"> Next formal review scheduled for October 2026 upon filing of Microsoft's Q1 FY2027 Form 10-Q.</w:t>
      </w:r>
    </w:p>
    <w:p w14:paraId="2E4DE267" w14:textId="77777777" w:rsidR="009570F6" w:rsidRDefault="00000000">
      <w:r>
        <w:rPr>
          <w:rFonts w:ascii="Times New Roman" w:hAnsi="Times New Roman" w:cs="Times New Roman"/>
          <w:b/>
          <w:sz w:val="25"/>
        </w:rPr>
        <w:t>Analyst Sign-Off:</w:t>
      </w:r>
      <w:r>
        <w:rPr>
          <w:rFonts w:ascii="Times New Roman" w:hAnsi="Times New Roman" w:cs="Times New Roman"/>
          <w:sz w:val="25"/>
        </w:rPr>
        <w:t xml:space="preserve"> Devank Mahajan | Buy-Side Equity Research | Fall 2026 | Recommendation: WATCH / DEFER at $500.59.</w:t>
      </w:r>
    </w:p>
    <w:sectPr w:rsidR="009570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70F6"/>
    <w:rsid w:val="009570F6"/>
    <w:rsid w:val="00A50E76"/>
    <w:rsid w:val="00CB7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7379FE"/>
  <w15:docId w15:val="{656AE9BB-FFF8-E04B-B292-5B270D0C1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EF8D1259-C52B-FA42-9E11-0786CD45400A}">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1120</Words>
  <Characters>6389</Characters>
  <Application>Microsoft Office Word</Application>
  <DocSecurity>0</DocSecurity>
  <Lines>53</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Devank Renu Mahajan</cp:lastModifiedBy>
  <cp:revision>2</cp:revision>
  <dcterms:created xsi:type="dcterms:W3CDTF">2026-10-20T02:15:00Z</dcterms:created>
  <dcterms:modified xsi:type="dcterms:W3CDTF">2026-10-20T02:16:00Z</dcterms:modified>
</cp:coreProperties>
</file>