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683629" w14:textId="77777777" w:rsidR="00D97BB1" w:rsidRDefault="00000000">
      <w:pPr>
        <w:spacing w:after="60"/>
        <w:jc w:val="center"/>
      </w:pPr>
      <w:r>
        <w:rPr>
          <w:rFonts w:ascii="Times New Roman" w:hAnsi="Times New Roman" w:cs="Times New Roman"/>
          <w:b/>
          <w:sz w:val="38"/>
        </w:rPr>
        <w:t>Project 1 Research Evolution: From Baseline to Defense</w:t>
      </w:r>
    </w:p>
    <w:p w14:paraId="2D3E5831" w14:textId="5890FC63" w:rsidR="00D97BB1" w:rsidRDefault="00000000" w:rsidP="0049000A">
      <w:pPr>
        <w:spacing w:after="100"/>
      </w:pPr>
      <w:r>
        <w:rPr>
          <w:rFonts w:ascii="Times New Roman" w:hAnsi="Times New Roman" w:cs="Times New Roman"/>
          <w:b/>
          <w:sz w:val="32"/>
        </w:rPr>
        <w:t>SECTION 1. EDITION A - UNCHANGED BRIGHTSPACE BASELINE CHECKPOINT</w:t>
      </w:r>
    </w:p>
    <w:p w14:paraId="4BCA1BED" w14:textId="77777777" w:rsidR="00D97BB1" w:rsidRDefault="00000000">
      <w:pPr>
        <w:spacing w:after="60"/>
        <w:ind w:left="720"/>
        <w:jc w:val="both"/>
        <w:rPr>
          <w:rFonts w:ascii="Times New Roman" w:hAnsi="Times New Roman" w:cs="Times New Roman"/>
          <w:sz w:val="29"/>
        </w:rPr>
      </w:pPr>
      <w:r>
        <w:rPr>
          <w:rFonts w:ascii="Times New Roman" w:hAnsi="Times New Roman" w:cs="Times New Roman"/>
          <w:b/>
          <w:sz w:val="29"/>
        </w:rPr>
        <w:tab/>
        <w:t>•</w:t>
      </w:r>
      <w:r>
        <w:rPr>
          <w:rFonts w:ascii="Times New Roman" w:hAnsi="Times New Roman" w:cs="Times New Roman"/>
          <w:b/>
          <w:sz w:val="29"/>
        </w:rPr>
        <w:tab/>
        <w:t>Student Attestation:</w:t>
      </w:r>
      <w:r>
        <w:rPr>
          <w:rFonts w:ascii="Times New Roman" w:hAnsi="Times New Roman" w:cs="Times New Roman"/>
          <w:sz w:val="29"/>
        </w:rPr>
        <w:t xml:space="preserve"> I authored this baseline during the supervised, AI-closed window prior to any project-specific generative-AI research, prompting, or coding assistance. The text below represents my preserved baseline record without retroactive alteration.</w:t>
      </w:r>
    </w:p>
    <w:p w14:paraId="3C8846C9" w14:textId="77777777" w:rsidR="0049000A" w:rsidRDefault="0049000A">
      <w:pPr>
        <w:spacing w:after="60"/>
        <w:ind w:left="720"/>
        <w:jc w:val="both"/>
      </w:pPr>
    </w:p>
    <w:p w14:paraId="239E41EB" w14:textId="77777777" w:rsidR="00D97BB1" w:rsidRDefault="00000000">
      <w:pPr>
        <w:spacing w:after="60"/>
      </w:pPr>
      <w:r>
        <w:rPr>
          <w:rFonts w:ascii="Times New Roman" w:hAnsi="Times New Roman" w:cs="Times New Roman"/>
          <w:b/>
          <w:sz w:val="29"/>
        </w:rPr>
        <w:t>1. Decision and Intended User</w:t>
      </w:r>
    </w:p>
    <w:p w14:paraId="0953A0A7" w14:textId="77777777" w:rsidR="00D97BB1" w:rsidRDefault="00000000">
      <w:pPr>
        <w:spacing w:after="100"/>
        <w:jc w:val="both"/>
      </w:pPr>
      <w:r>
        <w:rPr>
          <w:rFonts w:ascii="Times New Roman" w:hAnsi="Times New Roman" w:cs="Times New Roman"/>
          <w:sz w:val="29"/>
        </w:rPr>
        <w:t>I am advising a buy-side investment committee whose fund currently holds zero position in Microsoft Corporation. The question before the committee is whether to begin fundamental diligence to initiate an equity position, place the stock on watch, or reject the name.</w:t>
      </w:r>
    </w:p>
    <w:p w14:paraId="6846D6B2" w14:textId="77777777" w:rsidR="00D97BB1" w:rsidRDefault="00000000">
      <w:pPr>
        <w:spacing w:after="60"/>
      </w:pPr>
      <w:r>
        <w:rPr>
          <w:rFonts w:ascii="Times New Roman" w:hAnsi="Times New Roman" w:cs="Times New Roman"/>
          <w:b/>
          <w:sz w:val="29"/>
        </w:rPr>
        <w:t>2. Company and Security</w:t>
      </w:r>
    </w:p>
    <w:p w14:paraId="00A75511" w14:textId="77777777" w:rsidR="00D97BB1" w:rsidRDefault="00000000">
      <w:pPr>
        <w:spacing w:after="100"/>
        <w:jc w:val="both"/>
      </w:pPr>
      <w:r>
        <w:rPr>
          <w:rFonts w:ascii="Times New Roman" w:hAnsi="Times New Roman" w:cs="Times New Roman"/>
          <w:sz w:val="29"/>
        </w:rPr>
        <w:t xml:space="preserve">Entity: Microsoft Corporation | Ticker: MSFT (NASDAQ) | As-Of Date: August 31, </w:t>
      </w:r>
      <w:proofErr w:type="gramStart"/>
      <w:r>
        <w:rPr>
          <w:rFonts w:ascii="Times New Roman" w:hAnsi="Times New Roman" w:cs="Times New Roman"/>
          <w:sz w:val="29"/>
        </w:rPr>
        <w:t>2025</w:t>
      </w:r>
      <w:proofErr w:type="gramEnd"/>
      <w:r>
        <w:rPr>
          <w:rFonts w:ascii="Times New Roman" w:hAnsi="Times New Roman" w:cs="Times New Roman"/>
          <w:sz w:val="29"/>
        </w:rPr>
        <w:t xml:space="preserve"> | Target: Enterprise value, bridged to common equity value and value per diluted common share.</w:t>
      </w:r>
    </w:p>
    <w:p w14:paraId="2E771DF5" w14:textId="77777777" w:rsidR="00D97BB1" w:rsidRDefault="00000000">
      <w:pPr>
        <w:spacing w:after="60"/>
      </w:pPr>
      <w:r>
        <w:rPr>
          <w:rFonts w:ascii="Times New Roman" w:hAnsi="Times New Roman" w:cs="Times New Roman"/>
          <w:b/>
          <w:sz w:val="29"/>
        </w:rPr>
        <w:t>3. Initial Thesis: Watch / Defer</w:t>
      </w:r>
    </w:p>
    <w:p w14:paraId="2AC4FD00" w14:textId="77777777" w:rsidR="00D97BB1" w:rsidRDefault="00000000">
      <w:pPr>
        <w:spacing w:after="100"/>
        <w:jc w:val="both"/>
      </w:pPr>
      <w:r>
        <w:rPr>
          <w:rFonts w:ascii="Times New Roman" w:hAnsi="Times New Roman" w:cs="Times New Roman"/>
          <w:sz w:val="29"/>
        </w:rPr>
        <w:t xml:space="preserve">My initial thesis is to watch and defer an initiation decision. Microsoft is clearly a premier enterprise software and cloud business, but management has been ramping capital expenditures at an unprecedented pace.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accelerated past $44 billion in FY2024 and is approaching $65 billion. Management noted in MD&amp;A that scaling AI datacenter capacity is putting downward pressure on cloud gross margins. Until I build a linked financial model to test whether cloud revenues can generate an adequate return on this new capital, buying at current multiples seems premature.</w:t>
      </w:r>
    </w:p>
    <w:p w14:paraId="622AA26E" w14:textId="77777777" w:rsidR="00D97BB1" w:rsidRDefault="00000000">
      <w:pPr>
        <w:spacing w:after="60"/>
      </w:pPr>
      <w:r>
        <w:rPr>
          <w:rFonts w:ascii="Times New Roman" w:hAnsi="Times New Roman" w:cs="Times New Roman"/>
          <w:b/>
          <w:sz w:val="29"/>
        </w:rPr>
        <w:t>4. Known Evidence from the Audited Form 10-K (June 30, 2025)</w:t>
      </w:r>
    </w:p>
    <w:p w14:paraId="18A64BB7" w14:textId="77777777" w:rsidR="00D97BB1" w:rsidRDefault="00000000">
      <w:pPr>
        <w:spacing w:after="100"/>
        <w:jc w:val="both"/>
      </w:pPr>
      <w:r>
        <w:rPr>
          <w:rFonts w:ascii="Times New Roman" w:hAnsi="Times New Roman" w:cs="Times New Roman"/>
          <w:sz w:val="29"/>
        </w:rPr>
        <w:t>All dollar amounts are in U.S. dollars in millions, from Form 10-K accession 0000950170-25-100235:</w:t>
      </w:r>
    </w:p>
    <w:p w14:paraId="3EB35D02" w14:textId="77777777" w:rsidR="00D97BB1" w:rsidRDefault="00000000">
      <w:pPr>
        <w:spacing w:after="60"/>
        <w:ind w:left="720"/>
        <w:jc w:val="both"/>
      </w:pPr>
      <w:r>
        <w:rPr>
          <w:rFonts w:ascii="Times New Roman" w:hAnsi="Times New Roman" w:cs="Times New Roman"/>
          <w:b/>
          <w:sz w:val="29"/>
        </w:rPr>
        <w:lastRenderedPageBreak/>
        <w:tab/>
        <w:t>•</w:t>
      </w:r>
      <w:r>
        <w:rPr>
          <w:rFonts w:ascii="Times New Roman" w:hAnsi="Times New Roman" w:cs="Times New Roman"/>
          <w:b/>
          <w:sz w:val="29"/>
        </w:rPr>
        <w:tab/>
        <w:t>Cash and Cash Equivalents:</w:t>
      </w:r>
      <w:r>
        <w:rPr>
          <w:rFonts w:ascii="Times New Roman" w:hAnsi="Times New Roman" w:cs="Times New Roman"/>
          <w:sz w:val="29"/>
        </w:rPr>
        <w:t xml:space="preserve"> $30,242M </w:t>
      </w:r>
      <w:proofErr w:type="gramStart"/>
      <w:r>
        <w:rPr>
          <w:rFonts w:ascii="Times New Roman" w:hAnsi="Times New Roman" w:cs="Times New Roman"/>
          <w:sz w:val="29"/>
        </w:rPr>
        <w:t>at</w:t>
      </w:r>
      <w:proofErr w:type="gramEnd"/>
      <w:r>
        <w:rPr>
          <w:rFonts w:ascii="Times New Roman" w:hAnsi="Times New Roman" w:cs="Times New Roman"/>
          <w:sz w:val="29"/>
        </w:rPr>
        <w:t xml:space="preserve"> June 30, 2025 (Item 8 Balance Sheet, p. 61).</w:t>
      </w:r>
    </w:p>
    <w:p w14:paraId="0203F20B"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Short-Term Investments:</w:t>
      </w:r>
      <w:r>
        <w:rPr>
          <w:rFonts w:ascii="Times New Roman" w:hAnsi="Times New Roman" w:cs="Times New Roman"/>
          <w:sz w:val="29"/>
        </w:rPr>
        <w:t xml:space="preserve"> $64,323M </w:t>
      </w:r>
      <w:proofErr w:type="gramStart"/>
      <w:r>
        <w:rPr>
          <w:rFonts w:ascii="Times New Roman" w:hAnsi="Times New Roman" w:cs="Times New Roman"/>
          <w:sz w:val="29"/>
        </w:rPr>
        <w:t>at</w:t>
      </w:r>
      <w:proofErr w:type="gramEnd"/>
      <w:r>
        <w:rPr>
          <w:rFonts w:ascii="Times New Roman" w:hAnsi="Times New Roman" w:cs="Times New Roman"/>
          <w:sz w:val="29"/>
        </w:rPr>
        <w:t xml:space="preserve"> June 30, 2025 (Item 8 Balance Sheet, p. 61). Total liquidity is $94,565M.</w:t>
      </w:r>
    </w:p>
    <w:p w14:paraId="6C693B14"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Total Debt Carrying Value:</w:t>
      </w:r>
      <w:r>
        <w:rPr>
          <w:rFonts w:ascii="Times New Roman" w:hAnsi="Times New Roman" w:cs="Times New Roman"/>
          <w:sz w:val="29"/>
        </w:rPr>
        <w:t xml:space="preserve"> $43,151M ($2,999M current portion plus $40,152M long-term debt, Item 8 p. 61 and Note 10 p. 82).</w:t>
      </w:r>
    </w:p>
    <w:p w14:paraId="1C0C591E"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Diluted Common Shares:</w:t>
      </w:r>
      <w:r>
        <w:rPr>
          <w:rFonts w:ascii="Times New Roman" w:hAnsi="Times New Roman" w:cs="Times New Roman"/>
          <w:sz w:val="29"/>
        </w:rPr>
        <w:t xml:space="preserve"> 7,465.0 million weighted-average shares (7,433M basic plus 32M dilutive stock awards, Note 18 p. 94).</w:t>
      </w:r>
    </w:p>
    <w:p w14:paraId="20C39F0E"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Operating Revenue Driver:</w:t>
      </w:r>
      <w:r>
        <w:rPr>
          <w:rFonts w:ascii="Times New Roman" w:hAnsi="Times New Roman" w:cs="Times New Roman"/>
          <w:sz w:val="29"/>
        </w:rPr>
        <w:t xml:space="preserve"> Microsoft Cloud revenue was $168.9 billion in FY2025, up 23% YoY; Azure grew 34% (Item 7 MD&amp;A, p. 33). Total revenue reached $281,724 million, up 15% year-over-year.</w:t>
      </w:r>
    </w:p>
    <w:p w14:paraId="0BB996AF"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Capital Expenditures Trend:</w:t>
      </w:r>
      <w:r>
        <w:rPr>
          <w:rFonts w:ascii="Times New Roman" w:hAnsi="Times New Roman" w:cs="Times New Roman"/>
          <w:sz w:val="29"/>
        </w:rPr>
        <w:t xml:space="preserve"> Additions to property and equipment were $64,551 million in FY2025, compared to $44,475 million in FY2024 and $28,107 million in FY2023 (Item 8 Statement of Cash Flows, p. 62).</w:t>
      </w:r>
    </w:p>
    <w:p w14:paraId="69D66CB2" w14:textId="77777777" w:rsidR="00D97BB1" w:rsidRDefault="00000000">
      <w:pPr>
        <w:spacing w:after="60"/>
      </w:pPr>
      <w:r>
        <w:rPr>
          <w:rFonts w:ascii="Times New Roman" w:hAnsi="Times New Roman" w:cs="Times New Roman"/>
          <w:b/>
          <w:sz w:val="29"/>
        </w:rPr>
        <w:t>5. Synthetic Enterprise-to-Equity Bridge Check (Class Known Answer)</w:t>
      </w:r>
    </w:p>
    <w:p w14:paraId="6214E08C" w14:textId="77777777" w:rsidR="00D97BB1" w:rsidRDefault="00000000">
      <w:pPr>
        <w:spacing w:after="100"/>
        <w:jc w:val="both"/>
      </w:pPr>
      <w:r>
        <w:rPr>
          <w:rFonts w:ascii="Times New Roman" w:hAnsi="Times New Roman" w:cs="Times New Roman"/>
          <w:sz w:val="29"/>
        </w:rPr>
        <w:t>To confirm my understanding of the bridge mathematics, I reconciled the class synthetic test fixture: Equity Value = $1,000 EV + $100 Cash - $250 Debt - $20 Minority Interest - $10 Pension = $820.0M. Per-Share Value = $820.0M / 100 diluted shares = $8.20 per share. This synthetic check proves the arithmetic of claims. For Microsoft, my bridge will need to determine how much cash is required for daily operations, how to treat operating leases under ASC 842, and whether other claims exist.</w:t>
      </w:r>
    </w:p>
    <w:p w14:paraId="55F74CAD" w14:textId="77777777" w:rsidR="00D97BB1" w:rsidRDefault="00000000">
      <w:pPr>
        <w:spacing w:after="60"/>
      </w:pPr>
      <w:r>
        <w:rPr>
          <w:rFonts w:ascii="Times New Roman" w:hAnsi="Times New Roman" w:cs="Times New Roman"/>
          <w:b/>
          <w:sz w:val="29"/>
        </w:rPr>
        <w:t>6. Consequential Assumptions</w:t>
      </w:r>
    </w:p>
    <w:p w14:paraId="0B455F52"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Revenue Growth:</w:t>
      </w:r>
      <w:r>
        <w:rPr>
          <w:rFonts w:ascii="Times New Roman" w:hAnsi="Times New Roman" w:cs="Times New Roman"/>
          <w:sz w:val="29"/>
        </w:rPr>
        <w:t xml:space="preserve"> Microsoft Cloud and Azure revenue growth can be modeled from the FY2025 baseline, but recurring demand must be separated from one-time capacity expansion.</w:t>
      </w:r>
    </w:p>
    <w:p w14:paraId="7F66716D"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Cash Treatment:</w:t>
      </w:r>
      <w:r>
        <w:rPr>
          <w:rFonts w:ascii="Times New Roman" w:hAnsi="Times New Roman" w:cs="Times New Roman"/>
          <w:sz w:val="29"/>
        </w:rPr>
        <w:t xml:space="preserve"> A substantial portion of the $94.6 billion in cash and short-term investments may represent non-operating value, subject to an operating cash requirement analysis.</w:t>
      </w:r>
    </w:p>
    <w:p w14:paraId="181A5BFC" w14:textId="77777777" w:rsidR="00D97BB1" w:rsidRDefault="00000000">
      <w:pPr>
        <w:spacing w:after="60"/>
        <w:ind w:left="720"/>
        <w:jc w:val="both"/>
      </w:pPr>
      <w:r>
        <w:rPr>
          <w:rFonts w:ascii="Times New Roman" w:hAnsi="Times New Roman" w:cs="Times New Roman"/>
          <w:b/>
          <w:sz w:val="29"/>
        </w:rPr>
        <w:lastRenderedPageBreak/>
        <w:tab/>
        <w:t>•</w:t>
      </w:r>
      <w:r>
        <w:rPr>
          <w:rFonts w:ascii="Times New Roman" w:hAnsi="Times New Roman" w:cs="Times New Roman"/>
          <w:b/>
          <w:sz w:val="29"/>
        </w:rPr>
        <w:tab/>
        <w:t>Share Denominator:</w:t>
      </w:r>
      <w:r>
        <w:rPr>
          <w:rFonts w:ascii="Times New Roman" w:hAnsi="Times New Roman" w:cs="Times New Roman"/>
          <w:sz w:val="29"/>
        </w:rPr>
        <w:t xml:space="preserve"> The diluted share count of 7,465.0 million is the correct denominator for per-share DCF equity value.</w:t>
      </w:r>
    </w:p>
    <w:p w14:paraId="46478FEA"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Lease Obligations:</w:t>
      </w:r>
      <w:r>
        <w:rPr>
          <w:rFonts w:ascii="Times New Roman" w:hAnsi="Times New Roman" w:cs="Times New Roman"/>
          <w:sz w:val="29"/>
        </w:rPr>
        <w:t xml:space="preserve"> Operating leases and debt-like claims must be handled consistently between the operating forecast and the balance sheet bridge.</w:t>
      </w:r>
    </w:p>
    <w:p w14:paraId="4268D4C8" w14:textId="77777777" w:rsidR="00D97BB1" w:rsidRDefault="00000000">
      <w:pPr>
        <w:spacing w:after="60"/>
      </w:pPr>
      <w:r>
        <w:rPr>
          <w:rFonts w:ascii="Times New Roman" w:hAnsi="Times New Roman" w:cs="Times New Roman"/>
          <w:b/>
          <w:sz w:val="29"/>
        </w:rPr>
        <w:t>7. Unknowns and Reversal Conditions</w:t>
      </w:r>
    </w:p>
    <w:p w14:paraId="4AB7CF27"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Return on AI Spend:</w:t>
      </w:r>
      <w:r>
        <w:rPr>
          <w:rFonts w:ascii="Times New Roman" w:hAnsi="Times New Roman" w:cs="Times New Roman"/>
          <w:sz w:val="29"/>
        </w:rPr>
        <w:t xml:space="preserve"> I do not yet know whether Microsoft's heavy AI infrastructure spending will earn returns above WACC or permanently compress gross margins.</w:t>
      </w:r>
    </w:p>
    <w:p w14:paraId="0892E47C"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Operating Cash Floor:</w:t>
      </w:r>
      <w:r>
        <w:rPr>
          <w:rFonts w:ascii="Times New Roman" w:hAnsi="Times New Roman" w:cs="Times New Roman"/>
          <w:sz w:val="29"/>
        </w:rPr>
        <w:t xml:space="preserve"> I do not know how much cash is operationally restricted for daily business operations.</w:t>
      </w:r>
    </w:p>
    <w:p w14:paraId="0654304F"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Market Price &amp; DCF:</w:t>
      </w:r>
      <w:r>
        <w:rPr>
          <w:rFonts w:ascii="Times New Roman" w:hAnsi="Times New Roman" w:cs="Times New Roman"/>
          <w:sz w:val="29"/>
        </w:rPr>
        <w:t xml:space="preserve"> I need to determine the contemporaneous market price, WACC, forecast horizon, terminal growth rate, and resulting valuation range.</w:t>
      </w:r>
    </w:p>
    <w:p w14:paraId="66CDF035"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Reversal Conditions:</w:t>
      </w:r>
      <w:r>
        <w:rPr>
          <w:rFonts w:ascii="Times New Roman" w:hAnsi="Times New Roman" w:cs="Times New Roman"/>
          <w:sz w:val="29"/>
        </w:rPr>
        <w:t xml:space="preserve"> The watch/defer stance would turn into a do-not-initiate recommendation if the pro-forma shows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permanently depressing free cash conversion. It would become a buy recommendation only if a conservative DCF range offers a clear margin of safety below market price.</w:t>
      </w:r>
    </w:p>
    <w:p w14:paraId="05851339" w14:textId="77777777" w:rsidR="00D97BB1" w:rsidRDefault="00000000">
      <w:pPr>
        <w:spacing w:after="60"/>
      </w:pPr>
      <w:r>
        <w:rPr>
          <w:rFonts w:ascii="Times New Roman" w:hAnsi="Times New Roman" w:cs="Times New Roman"/>
          <w:b/>
          <w:sz w:val="29"/>
        </w:rPr>
        <w:t>8. Initial Research Plan</w:t>
      </w:r>
    </w:p>
    <w:p w14:paraId="5D3F2FBF"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Step 1:</w:t>
      </w:r>
      <w:r>
        <w:rPr>
          <w:rFonts w:ascii="Times New Roman" w:hAnsi="Times New Roman" w:cs="Times New Roman"/>
          <w:sz w:val="29"/>
        </w:rPr>
        <w:t xml:space="preserve"> Build a five-year three-statement pro-forma model using audited FY2025 financial statements as the base year.</w:t>
      </w:r>
    </w:p>
    <w:p w14:paraId="5C179B82"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Step 2:</w:t>
      </w:r>
      <w:r>
        <w:rPr>
          <w:rFonts w:ascii="Times New Roman" w:hAnsi="Times New Roman" w:cs="Times New Roman"/>
          <w:sz w:val="29"/>
        </w:rPr>
        <w:t xml:space="preserve"> Forecast revenue, gross margin, operating expenses, </w:t>
      </w:r>
      <w:proofErr w:type="spellStart"/>
      <w:r>
        <w:rPr>
          <w:rFonts w:ascii="Times New Roman" w:hAnsi="Times New Roman" w:cs="Times New Roman"/>
          <w:sz w:val="29"/>
        </w:rPr>
        <w:t>CapEx</w:t>
      </w:r>
      <w:proofErr w:type="spellEnd"/>
      <w:r>
        <w:rPr>
          <w:rFonts w:ascii="Times New Roman" w:hAnsi="Times New Roman" w:cs="Times New Roman"/>
          <w:sz w:val="29"/>
        </w:rPr>
        <w:t>, and working capital under base, bear, and bull cases.</w:t>
      </w:r>
    </w:p>
    <w:p w14:paraId="10B5C45D"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Step 3:</w:t>
      </w:r>
      <w:r>
        <w:rPr>
          <w:rFonts w:ascii="Times New Roman" w:hAnsi="Times New Roman" w:cs="Times New Roman"/>
          <w:sz w:val="29"/>
        </w:rPr>
        <w:t xml:space="preserve"> Discount free cash flows at WACC, compute terminal value via Gordon Growth, and bridge enterprise value to common equity.</w:t>
      </w:r>
    </w:p>
    <w:p w14:paraId="283ADA1C"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Step 4:</w:t>
      </w:r>
      <w:r>
        <w:rPr>
          <w:rFonts w:ascii="Times New Roman" w:hAnsi="Times New Roman" w:cs="Times New Roman"/>
          <w:sz w:val="29"/>
        </w:rPr>
        <w:t xml:space="preserve"> Contrast DCF results against comparable </w:t>
      </w:r>
      <w:proofErr w:type="gramStart"/>
      <w:r>
        <w:rPr>
          <w:rFonts w:ascii="Times New Roman" w:hAnsi="Times New Roman" w:cs="Times New Roman"/>
          <w:sz w:val="29"/>
        </w:rPr>
        <w:t>companies</w:t>
      </w:r>
      <w:proofErr w:type="gramEnd"/>
      <w:r>
        <w:rPr>
          <w:rFonts w:ascii="Times New Roman" w:hAnsi="Times New Roman" w:cs="Times New Roman"/>
          <w:sz w:val="29"/>
        </w:rPr>
        <w:t xml:space="preserve"> multiples and solve for market-implied growth via Reverse DCF.</w:t>
      </w:r>
    </w:p>
    <w:p w14:paraId="74CE3218" w14:textId="77777777" w:rsidR="00D97BB1" w:rsidRDefault="00000000">
      <w:pPr>
        <w:spacing w:after="60"/>
      </w:pPr>
      <w:r>
        <w:rPr>
          <w:rFonts w:ascii="Times New Roman" w:hAnsi="Times New Roman" w:cs="Times New Roman"/>
          <w:b/>
          <w:sz w:val="29"/>
        </w:rPr>
        <w:t>9. Baseline Limitations &amp; AI-Closed Scope</w:t>
      </w:r>
    </w:p>
    <w:p w14:paraId="2564BF54" w14:textId="77777777" w:rsidR="00D97BB1" w:rsidRDefault="00000000">
      <w:pPr>
        <w:spacing w:after="100"/>
        <w:jc w:val="both"/>
      </w:pPr>
      <w:r>
        <w:rPr>
          <w:rFonts w:ascii="Times New Roman" w:hAnsi="Times New Roman" w:cs="Times New Roman"/>
          <w:sz w:val="29"/>
        </w:rPr>
        <w:t xml:space="preserve">This baseline represents my unassisted financial thinking prior to model construction. It lacks dynamic statement articulation, rigorous working capital </w:t>
      </w:r>
      <w:r>
        <w:rPr>
          <w:rFonts w:ascii="Times New Roman" w:hAnsi="Times New Roman" w:cs="Times New Roman"/>
          <w:sz w:val="29"/>
        </w:rPr>
        <w:lastRenderedPageBreak/>
        <w:t>mechanics, automated sensitivity analysis, and multi-method triangulation. The following sections document how my research evolved as I designed, audited, and finalized the complete valuation system.</w:t>
      </w:r>
    </w:p>
    <w:p w14:paraId="250CAFB1" w14:textId="77777777" w:rsidR="00D97BB1" w:rsidRDefault="00000000">
      <w:pPr>
        <w:spacing w:after="100"/>
      </w:pPr>
      <w:r>
        <w:rPr>
          <w:rFonts w:ascii="Times New Roman" w:hAnsi="Times New Roman" w:cs="Times New Roman"/>
          <w:b/>
          <w:sz w:val="32"/>
        </w:rPr>
        <w:t>SECTION 2. DATED CORRECTION ADDENDUM (SEPTEMBER 10, 2026)</w:t>
      </w:r>
    </w:p>
    <w:p w14:paraId="72BCD949" w14:textId="77777777" w:rsidR="00D97BB1" w:rsidRDefault="00000000">
      <w:pPr>
        <w:spacing w:after="100"/>
        <w:jc w:val="both"/>
      </w:pPr>
      <w:r>
        <w:rPr>
          <w:rFonts w:ascii="Times New Roman" w:hAnsi="Times New Roman" w:cs="Times New Roman"/>
          <w:sz w:val="29"/>
        </w:rPr>
        <w:t>Date Discovered and Filed: September 10, 2026. Context: During Week 3 when building the valuation engine, two balance sheet refinements were necessary to ensure exact accounting precision:</w:t>
      </w:r>
    </w:p>
    <w:p w14:paraId="51E8CA5E"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1. Operational Cash Floor:</w:t>
      </w:r>
      <w:r>
        <w:rPr>
          <w:rFonts w:ascii="Times New Roman" w:hAnsi="Times New Roman" w:cs="Times New Roman"/>
          <w:sz w:val="29"/>
        </w:rPr>
        <w:t xml:space="preserve"> In Edition A, I treated all $94,565 million of cash and short-term investments as potential non-operating liquidity. After reviewing Microsoft's operating expenses (roughly $61 billion in annual cash </w:t>
      </w:r>
      <w:proofErr w:type="spellStart"/>
      <w:r>
        <w:rPr>
          <w:rFonts w:ascii="Times New Roman" w:hAnsi="Times New Roman" w:cs="Times New Roman"/>
          <w:sz w:val="29"/>
        </w:rPr>
        <w:t>OpEx</w:t>
      </w:r>
      <w:proofErr w:type="spellEnd"/>
      <w:r>
        <w:rPr>
          <w:rFonts w:ascii="Times New Roman" w:hAnsi="Times New Roman" w:cs="Times New Roman"/>
          <w:sz w:val="29"/>
        </w:rPr>
        <w:t xml:space="preserve"> and $88 billion in cost of revenue), Microsoft requires an operating liquidity buffer. I established an operational cash floor of $15,000 million (approximately 20 days of cash operating costs). The remaining $79,565 million represents true excess liquidity available to equity holders.</w:t>
      </w:r>
    </w:p>
    <w:p w14:paraId="6AA853EF" w14:textId="77777777" w:rsidR="00D97BB1"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2. Operating Lease Liabilities:</w:t>
      </w:r>
      <w:r>
        <w:rPr>
          <w:rFonts w:ascii="Times New Roman" w:hAnsi="Times New Roman" w:cs="Times New Roman"/>
          <w:sz w:val="29"/>
        </w:rPr>
        <w:t xml:space="preserve"> In Note 8 of the Form 10-K (p. 79), Microsoft reports $18,485 million in operating lease liabilities under ASC 842. Because the amortization of right-of-use lease assets is already included inside operating expenses, these lease obligations are senior debt-like claims that must be deducted in the enterprise-to-equity bridge to avoid double-counting asset value.</w:t>
      </w:r>
    </w:p>
    <w:p w14:paraId="56A8E538" w14:textId="77777777" w:rsidR="00D97BB1" w:rsidRDefault="00000000">
      <w:pPr>
        <w:spacing w:after="100"/>
      </w:pPr>
      <w:r>
        <w:rPr>
          <w:rFonts w:ascii="Times New Roman" w:hAnsi="Times New Roman" w:cs="Times New Roman"/>
          <w:b/>
          <w:sz w:val="32"/>
        </w:rPr>
        <w:t>SECTION 3. EDITION B - POST-RESEARCH VALUATION SYSTEM</w:t>
      </w:r>
    </w:p>
    <w:p w14:paraId="286E76AD" w14:textId="77777777" w:rsidR="00D97BB1" w:rsidRDefault="00000000">
      <w:pPr>
        <w:spacing w:after="100"/>
        <w:jc w:val="both"/>
      </w:pPr>
      <w:r>
        <w:rPr>
          <w:rFonts w:ascii="Times New Roman" w:hAnsi="Times New Roman" w:cs="Times New Roman"/>
          <w:b/>
          <w:sz w:val="29"/>
        </w:rPr>
        <w:t>Current Decision:</w:t>
      </w:r>
      <w:r>
        <w:rPr>
          <w:rFonts w:ascii="Times New Roman" w:hAnsi="Times New Roman" w:cs="Times New Roman"/>
          <w:sz w:val="29"/>
        </w:rPr>
        <w:t xml:space="preserve"> Buy-Side Investment Committee Memorandum - WATCH / DEFER at $500.59.</w:t>
      </w:r>
      <w:r>
        <w:rPr>
          <w:rFonts w:ascii="Times New Roman" w:hAnsi="Times New Roman" w:cs="Times New Roman"/>
          <w:sz w:val="29"/>
        </w:rPr>
        <w:br/>
      </w:r>
      <w:r>
        <w:rPr>
          <w:rFonts w:ascii="Times New Roman" w:hAnsi="Times New Roman" w:cs="Times New Roman"/>
          <w:b/>
          <w:sz w:val="29"/>
        </w:rPr>
        <w:t>Intrinsic DCF Value (FCFF Base):</w:t>
      </w:r>
      <w:r>
        <w:rPr>
          <w:rFonts w:ascii="Times New Roman" w:hAnsi="Times New Roman" w:cs="Times New Roman"/>
          <w:sz w:val="29"/>
        </w:rPr>
        <w:t xml:space="preserve"> $316.63 per share (Corner Range: $246.49 to $448.76).</w:t>
      </w:r>
      <w:r>
        <w:rPr>
          <w:rFonts w:ascii="Times New Roman" w:hAnsi="Times New Roman" w:cs="Times New Roman"/>
          <w:sz w:val="29"/>
        </w:rPr>
        <w:br/>
      </w:r>
      <w:r>
        <w:rPr>
          <w:rFonts w:ascii="Times New Roman" w:hAnsi="Times New Roman" w:cs="Times New Roman"/>
          <w:b/>
          <w:sz w:val="29"/>
        </w:rPr>
        <w:t>Pro-Forma FCFE Value (Base):</w:t>
      </w:r>
      <w:r>
        <w:rPr>
          <w:rFonts w:ascii="Times New Roman" w:hAnsi="Times New Roman" w:cs="Times New Roman"/>
          <w:sz w:val="29"/>
        </w:rPr>
        <w:t xml:space="preserve"> $303.85 per share (OAT Range: $255.77 to $365.92).</w:t>
      </w:r>
      <w:r>
        <w:rPr>
          <w:rFonts w:ascii="Times New Roman" w:hAnsi="Times New Roman" w:cs="Times New Roman"/>
          <w:sz w:val="29"/>
        </w:rPr>
        <w:br/>
      </w:r>
      <w:r>
        <w:rPr>
          <w:rFonts w:ascii="Times New Roman" w:hAnsi="Times New Roman" w:cs="Times New Roman"/>
          <w:b/>
          <w:sz w:val="29"/>
        </w:rPr>
        <w:t>Relative Valuation (Peer Median P/E 39.91x):</w:t>
      </w:r>
      <w:r>
        <w:rPr>
          <w:rFonts w:ascii="Times New Roman" w:hAnsi="Times New Roman" w:cs="Times New Roman"/>
          <w:sz w:val="29"/>
        </w:rPr>
        <w:t xml:space="preserve"> $544.48 per share (Range: </w:t>
      </w:r>
      <w:r>
        <w:rPr>
          <w:rFonts w:ascii="Times New Roman" w:hAnsi="Times New Roman" w:cs="Times New Roman"/>
          <w:sz w:val="29"/>
        </w:rPr>
        <w:lastRenderedPageBreak/>
        <w:t>$480.71 to $560.56).</w:t>
      </w:r>
      <w:r>
        <w:rPr>
          <w:rFonts w:ascii="Times New Roman" w:hAnsi="Times New Roman" w:cs="Times New Roman"/>
          <w:sz w:val="29"/>
        </w:rPr>
        <w:br/>
      </w:r>
      <w:r>
        <w:rPr>
          <w:rFonts w:ascii="Times New Roman" w:hAnsi="Times New Roman" w:cs="Times New Roman"/>
          <w:b/>
          <w:sz w:val="29"/>
        </w:rPr>
        <w:t>Reverse DCF at $500.59:</w:t>
      </w:r>
      <w:r>
        <w:rPr>
          <w:rFonts w:ascii="Times New Roman" w:hAnsi="Times New Roman" w:cs="Times New Roman"/>
          <w:sz w:val="29"/>
        </w:rPr>
        <w:t xml:space="preserve"> Requires 21.6% compound organic revenue growth through 2030 (+8.60 percentage points above base).</w:t>
      </w:r>
    </w:p>
    <w:p w14:paraId="30CBA2D1" w14:textId="77777777" w:rsidR="00D97BB1" w:rsidRDefault="00000000">
      <w:pPr>
        <w:spacing w:after="60"/>
      </w:pPr>
      <w:r>
        <w:rPr>
          <w:rFonts w:ascii="Times New Roman" w:hAnsi="Times New Roman" w:cs="Times New Roman"/>
          <w:b/>
          <w:sz w:val="29"/>
        </w:rPr>
        <w:t>Itemized A-to-B Change Evidence Table</w:t>
      </w:r>
    </w:p>
    <w:p w14:paraId="0F31E8D9" w14:textId="77777777" w:rsidR="00D97BB1" w:rsidRDefault="00000000">
      <w:r>
        <w:rPr>
          <w:rFonts w:ascii="Times New Roman" w:hAnsi="Times New Roman" w:cs="Times New Roman"/>
          <w:b/>
          <w:sz w:val="25"/>
        </w:rPr>
        <w:t>Dimension</w:t>
      </w:r>
    </w:p>
    <w:p w14:paraId="08BE73CC" w14:textId="77777777" w:rsidR="00D97BB1" w:rsidRDefault="00000000">
      <w:r>
        <w:rPr>
          <w:rFonts w:ascii="Times New Roman" w:hAnsi="Times New Roman" w:cs="Times New Roman"/>
          <w:b/>
          <w:sz w:val="25"/>
        </w:rPr>
        <w:t>Edition A Baseline</w:t>
      </w:r>
    </w:p>
    <w:p w14:paraId="0D6D1DF9" w14:textId="77777777" w:rsidR="00D97BB1" w:rsidRDefault="00000000">
      <w:r>
        <w:rPr>
          <w:rFonts w:ascii="Times New Roman" w:hAnsi="Times New Roman" w:cs="Times New Roman"/>
          <w:b/>
          <w:sz w:val="25"/>
        </w:rPr>
        <w:t>Edition B Final System</w:t>
      </w:r>
    </w:p>
    <w:p w14:paraId="2E238A29" w14:textId="77777777" w:rsidR="00D97BB1" w:rsidRDefault="00000000">
      <w:r>
        <w:rPr>
          <w:rFonts w:ascii="Times New Roman" w:hAnsi="Times New Roman" w:cs="Times New Roman"/>
          <w:b/>
          <w:sz w:val="25"/>
        </w:rPr>
        <w:t>Audit Trigger &amp; Methodological Reason</w:t>
      </w:r>
    </w:p>
    <w:p w14:paraId="24782348" w14:textId="77777777" w:rsidR="00D97BB1" w:rsidRDefault="00000000">
      <w:r>
        <w:rPr>
          <w:rFonts w:ascii="Times New Roman" w:hAnsi="Times New Roman" w:cs="Times New Roman"/>
          <w:b/>
          <w:sz w:val="25"/>
        </w:rPr>
        <w:t>Decision &amp; Stance</w:t>
      </w:r>
    </w:p>
    <w:p w14:paraId="2FEE5993" w14:textId="77777777" w:rsidR="00D97BB1" w:rsidRDefault="00000000">
      <w:r>
        <w:rPr>
          <w:rFonts w:ascii="Times New Roman" w:hAnsi="Times New Roman" w:cs="Times New Roman"/>
          <w:sz w:val="25"/>
        </w:rPr>
        <w:t>Informal Watch / Defer</w:t>
      </w:r>
    </w:p>
    <w:p w14:paraId="65EF1CC4" w14:textId="77777777" w:rsidR="00D97BB1" w:rsidRDefault="00000000">
      <w:r>
        <w:rPr>
          <w:rFonts w:ascii="Times New Roman" w:hAnsi="Times New Roman" w:cs="Times New Roman"/>
          <w:sz w:val="25"/>
        </w:rPr>
        <w:t>Disciplined Watch / Defer with triggers</w:t>
      </w:r>
    </w:p>
    <w:p w14:paraId="212F662B" w14:textId="77777777" w:rsidR="00D97BB1" w:rsidRDefault="00000000">
      <w:r>
        <w:rPr>
          <w:rFonts w:ascii="Times New Roman" w:hAnsi="Times New Roman" w:cs="Times New Roman"/>
          <w:sz w:val="25"/>
        </w:rPr>
        <w:t xml:space="preserve">Added explicit $310 buy and $75B </w:t>
      </w:r>
      <w:proofErr w:type="spellStart"/>
      <w:r>
        <w:rPr>
          <w:rFonts w:ascii="Times New Roman" w:hAnsi="Times New Roman" w:cs="Times New Roman"/>
          <w:sz w:val="25"/>
        </w:rPr>
        <w:t>CapEx</w:t>
      </w:r>
      <w:proofErr w:type="spellEnd"/>
      <w:r>
        <w:rPr>
          <w:rFonts w:ascii="Times New Roman" w:hAnsi="Times New Roman" w:cs="Times New Roman"/>
          <w:sz w:val="25"/>
        </w:rPr>
        <w:t xml:space="preserve"> exit triggers.</w:t>
      </w:r>
    </w:p>
    <w:p w14:paraId="326F46BB" w14:textId="77777777" w:rsidR="00D97BB1" w:rsidRDefault="00000000">
      <w:r>
        <w:rPr>
          <w:rFonts w:ascii="Times New Roman" w:hAnsi="Times New Roman" w:cs="Times New Roman"/>
          <w:b/>
          <w:sz w:val="25"/>
        </w:rPr>
        <w:t>Model Structure</w:t>
      </w:r>
    </w:p>
    <w:p w14:paraId="71F935DE" w14:textId="77777777" w:rsidR="00D97BB1" w:rsidRDefault="00000000">
      <w:r>
        <w:rPr>
          <w:rFonts w:ascii="Times New Roman" w:hAnsi="Times New Roman" w:cs="Times New Roman"/>
          <w:sz w:val="25"/>
        </w:rPr>
        <w:t>Single-period back-of-envelope</w:t>
      </w:r>
    </w:p>
    <w:p w14:paraId="00947FDC" w14:textId="77777777" w:rsidR="00D97BB1" w:rsidRDefault="00000000">
      <w:r>
        <w:rPr>
          <w:rFonts w:ascii="Times New Roman" w:hAnsi="Times New Roman" w:cs="Times New Roman"/>
          <w:sz w:val="25"/>
        </w:rPr>
        <w:t>5-year integrated 3-statement pro-forma</w:t>
      </w:r>
    </w:p>
    <w:p w14:paraId="5BF9D849" w14:textId="77777777" w:rsidR="00D97BB1" w:rsidRDefault="00000000">
      <w:r>
        <w:rPr>
          <w:rFonts w:ascii="Times New Roman" w:hAnsi="Times New Roman" w:cs="Times New Roman"/>
          <w:sz w:val="25"/>
        </w:rPr>
        <w:t>Captures 5-year compounding and balance sheet ties ($0.0000M gap).</w:t>
      </w:r>
    </w:p>
    <w:p w14:paraId="1AEB5FA9" w14:textId="77777777" w:rsidR="00D97BB1" w:rsidRDefault="00000000">
      <w:proofErr w:type="spellStart"/>
      <w:r>
        <w:rPr>
          <w:rFonts w:ascii="Times New Roman" w:hAnsi="Times New Roman" w:cs="Times New Roman"/>
          <w:b/>
          <w:sz w:val="25"/>
        </w:rPr>
        <w:t>CapEx</w:t>
      </w:r>
      <w:proofErr w:type="spellEnd"/>
      <w:r>
        <w:rPr>
          <w:rFonts w:ascii="Times New Roman" w:hAnsi="Times New Roman" w:cs="Times New Roman"/>
          <w:b/>
          <w:sz w:val="25"/>
        </w:rPr>
        <w:t xml:space="preserve"> Modeling</w:t>
      </w:r>
    </w:p>
    <w:p w14:paraId="52C18DFE" w14:textId="77777777" w:rsidR="00D97BB1" w:rsidRDefault="00000000">
      <w:r>
        <w:rPr>
          <w:rFonts w:ascii="Times New Roman" w:hAnsi="Times New Roman" w:cs="Times New Roman"/>
          <w:sz w:val="25"/>
        </w:rPr>
        <w:t>Historical narrative observation</w:t>
      </w:r>
    </w:p>
    <w:p w14:paraId="66711A92" w14:textId="77777777" w:rsidR="00D97BB1" w:rsidRDefault="00000000">
      <w:r>
        <w:rPr>
          <w:rFonts w:ascii="Times New Roman" w:hAnsi="Times New Roman" w:cs="Times New Roman"/>
          <w:sz w:val="25"/>
        </w:rPr>
        <w:t xml:space="preserve">$65.0B annual cash </w:t>
      </w:r>
      <w:proofErr w:type="spellStart"/>
      <w:r>
        <w:rPr>
          <w:rFonts w:ascii="Times New Roman" w:hAnsi="Times New Roman" w:cs="Times New Roman"/>
          <w:sz w:val="25"/>
        </w:rPr>
        <w:t>CapEx</w:t>
      </w:r>
      <w:proofErr w:type="spellEnd"/>
      <w:r>
        <w:rPr>
          <w:rFonts w:ascii="Times New Roman" w:hAnsi="Times New Roman" w:cs="Times New Roman"/>
          <w:sz w:val="25"/>
        </w:rPr>
        <w:t xml:space="preserve"> schedule</w:t>
      </w:r>
    </w:p>
    <w:p w14:paraId="1C152FF4" w14:textId="77777777" w:rsidR="00D97BB1" w:rsidRDefault="00000000">
      <w:r>
        <w:rPr>
          <w:rFonts w:ascii="Times New Roman" w:hAnsi="Times New Roman" w:cs="Times New Roman"/>
          <w:sz w:val="25"/>
        </w:rPr>
        <w:t xml:space="preserve">Item 8 cash flow audit revealed </w:t>
      </w:r>
      <w:proofErr w:type="spellStart"/>
      <w:r>
        <w:rPr>
          <w:rFonts w:ascii="Times New Roman" w:hAnsi="Times New Roman" w:cs="Times New Roman"/>
          <w:sz w:val="25"/>
        </w:rPr>
        <w:t>CapEx</w:t>
      </w:r>
      <w:proofErr w:type="spellEnd"/>
      <w:r>
        <w:rPr>
          <w:rFonts w:ascii="Times New Roman" w:hAnsi="Times New Roman" w:cs="Times New Roman"/>
          <w:sz w:val="25"/>
        </w:rPr>
        <w:t xml:space="preserve"> surged to $64.55B.</w:t>
      </w:r>
    </w:p>
    <w:p w14:paraId="73DD601B" w14:textId="77777777" w:rsidR="00D97BB1" w:rsidRDefault="00000000">
      <w:r>
        <w:rPr>
          <w:rFonts w:ascii="Times New Roman" w:hAnsi="Times New Roman" w:cs="Times New Roman"/>
          <w:b/>
          <w:sz w:val="25"/>
        </w:rPr>
        <w:t>Working Capital Float</w:t>
      </w:r>
    </w:p>
    <w:p w14:paraId="0EBCDC0E" w14:textId="77777777" w:rsidR="00D97BB1" w:rsidRDefault="00000000">
      <w:r>
        <w:rPr>
          <w:rFonts w:ascii="Times New Roman" w:hAnsi="Times New Roman" w:cs="Times New Roman"/>
          <w:sz w:val="25"/>
        </w:rPr>
        <w:t>Omitted</w:t>
      </w:r>
    </w:p>
    <w:p w14:paraId="7E52BC4E" w14:textId="77777777" w:rsidR="00D97BB1" w:rsidRDefault="00000000">
      <w:r>
        <w:rPr>
          <w:rFonts w:ascii="Times New Roman" w:hAnsi="Times New Roman" w:cs="Times New Roman"/>
          <w:sz w:val="25"/>
        </w:rPr>
        <w:t>$64.6B Unearned Revenue Float</w:t>
      </w:r>
    </w:p>
    <w:p w14:paraId="470EF785" w14:textId="77777777" w:rsidR="00D97BB1" w:rsidRDefault="00000000">
      <w:r>
        <w:rPr>
          <w:rFonts w:ascii="Times New Roman" w:hAnsi="Times New Roman" w:cs="Times New Roman"/>
          <w:sz w:val="25"/>
        </w:rPr>
        <w:t>Item 8 p. 61 revealed software prepayments provide +$8.4B-$13.7B cash.</w:t>
      </w:r>
    </w:p>
    <w:p w14:paraId="243A7479" w14:textId="77777777" w:rsidR="00D97BB1" w:rsidRDefault="00000000">
      <w:r>
        <w:rPr>
          <w:rFonts w:ascii="Times New Roman" w:hAnsi="Times New Roman" w:cs="Times New Roman"/>
          <w:b/>
          <w:sz w:val="25"/>
        </w:rPr>
        <w:t>Cash Floor</w:t>
      </w:r>
    </w:p>
    <w:p w14:paraId="7193008C" w14:textId="77777777" w:rsidR="00D97BB1" w:rsidRDefault="00000000">
      <w:r>
        <w:rPr>
          <w:rFonts w:ascii="Times New Roman" w:hAnsi="Times New Roman" w:cs="Times New Roman"/>
          <w:sz w:val="25"/>
        </w:rPr>
        <w:t>100% of $94.6B cash counted as excess</w:t>
      </w:r>
    </w:p>
    <w:p w14:paraId="2F88FCB6" w14:textId="77777777" w:rsidR="00D97BB1" w:rsidRDefault="00000000">
      <w:r>
        <w:rPr>
          <w:rFonts w:ascii="Times New Roman" w:hAnsi="Times New Roman" w:cs="Times New Roman"/>
          <w:sz w:val="25"/>
        </w:rPr>
        <w:t>$15.0B operational cash floor buffer</w:t>
      </w:r>
    </w:p>
    <w:p w14:paraId="3553A3B7" w14:textId="77777777" w:rsidR="00D97BB1" w:rsidRDefault="00000000">
      <w:r>
        <w:rPr>
          <w:rFonts w:ascii="Times New Roman" w:hAnsi="Times New Roman" w:cs="Times New Roman"/>
          <w:sz w:val="25"/>
        </w:rPr>
        <w:lastRenderedPageBreak/>
        <w:t xml:space="preserve">Dated Addendum: ~20 days cash </w:t>
      </w:r>
      <w:proofErr w:type="spellStart"/>
      <w:r>
        <w:rPr>
          <w:rFonts w:ascii="Times New Roman" w:hAnsi="Times New Roman" w:cs="Times New Roman"/>
          <w:sz w:val="25"/>
        </w:rPr>
        <w:t>OpEx</w:t>
      </w:r>
      <w:proofErr w:type="spellEnd"/>
      <w:r>
        <w:rPr>
          <w:rFonts w:ascii="Times New Roman" w:hAnsi="Times New Roman" w:cs="Times New Roman"/>
          <w:sz w:val="25"/>
        </w:rPr>
        <w:t xml:space="preserve"> needed for operations.</w:t>
      </w:r>
    </w:p>
    <w:p w14:paraId="64BC75E6" w14:textId="77777777" w:rsidR="00D97BB1" w:rsidRDefault="00000000">
      <w:r>
        <w:rPr>
          <w:rFonts w:ascii="Times New Roman" w:hAnsi="Times New Roman" w:cs="Times New Roman"/>
          <w:b/>
          <w:sz w:val="25"/>
        </w:rPr>
        <w:t>Operating Leases</w:t>
      </w:r>
    </w:p>
    <w:p w14:paraId="2D03F144" w14:textId="77777777" w:rsidR="00D97BB1" w:rsidRDefault="00000000">
      <w:r>
        <w:rPr>
          <w:rFonts w:ascii="Times New Roman" w:hAnsi="Times New Roman" w:cs="Times New Roman"/>
          <w:sz w:val="25"/>
        </w:rPr>
        <w:t>Omitted from bridge</w:t>
      </w:r>
    </w:p>
    <w:p w14:paraId="0B4B8916" w14:textId="77777777" w:rsidR="00D97BB1" w:rsidRDefault="00000000">
      <w:r>
        <w:rPr>
          <w:rFonts w:ascii="Times New Roman" w:hAnsi="Times New Roman" w:cs="Times New Roman"/>
          <w:sz w:val="25"/>
        </w:rPr>
        <w:t>$18.485B deducted as debt claims</w:t>
      </w:r>
    </w:p>
    <w:p w14:paraId="6BD6BA20" w14:textId="77777777" w:rsidR="00D97BB1" w:rsidRDefault="00000000">
      <w:r>
        <w:rPr>
          <w:rFonts w:ascii="Times New Roman" w:hAnsi="Times New Roman" w:cs="Times New Roman"/>
          <w:sz w:val="25"/>
        </w:rPr>
        <w:t>Note 8 p. 79 ASC 842 audit revealed senior datacenter lease claims.</w:t>
      </w:r>
    </w:p>
    <w:p w14:paraId="27AF531D" w14:textId="77777777" w:rsidR="00D97BB1" w:rsidRDefault="00000000">
      <w:r>
        <w:rPr>
          <w:rFonts w:ascii="Times New Roman" w:hAnsi="Times New Roman" w:cs="Times New Roman"/>
          <w:b/>
          <w:sz w:val="25"/>
        </w:rPr>
        <w:t>WACC Calibration</w:t>
      </w:r>
    </w:p>
    <w:p w14:paraId="0C14522F" w14:textId="77777777" w:rsidR="00D97BB1" w:rsidRDefault="00000000">
      <w:r>
        <w:rPr>
          <w:rFonts w:ascii="Times New Roman" w:hAnsi="Times New Roman" w:cs="Times New Roman"/>
          <w:sz w:val="25"/>
        </w:rPr>
        <w:t>Assumed range (9.0% - 10.0%)</w:t>
      </w:r>
    </w:p>
    <w:p w14:paraId="02A195F7" w14:textId="77777777" w:rsidR="00D97BB1" w:rsidRDefault="00000000">
      <w:r>
        <w:rPr>
          <w:rFonts w:ascii="Times New Roman" w:hAnsi="Times New Roman" w:cs="Times New Roman"/>
          <w:sz w:val="25"/>
        </w:rPr>
        <w:t>Strict CAPM Ke = 9.50% (AAA rating)</w:t>
      </w:r>
    </w:p>
    <w:p w14:paraId="0C02E3C0" w14:textId="77777777" w:rsidR="00D97BB1" w:rsidRDefault="00000000">
      <w:r>
        <w:rPr>
          <w:rFonts w:ascii="Times New Roman" w:hAnsi="Times New Roman" w:cs="Times New Roman"/>
          <w:sz w:val="25"/>
        </w:rPr>
        <w:t>Calibrated to 4.25% 10-Yr Treasury, 1.05 beta, 5.0% ERP.</w:t>
      </w:r>
    </w:p>
    <w:p w14:paraId="65E7E703" w14:textId="77777777" w:rsidR="00D97BB1" w:rsidRDefault="00000000">
      <w:r>
        <w:rPr>
          <w:rFonts w:ascii="Times New Roman" w:hAnsi="Times New Roman" w:cs="Times New Roman"/>
          <w:b/>
          <w:sz w:val="25"/>
        </w:rPr>
        <w:t>Terminal Growth</w:t>
      </w:r>
    </w:p>
    <w:p w14:paraId="0C9639A5" w14:textId="77777777" w:rsidR="00D97BB1" w:rsidRDefault="00000000">
      <w:r>
        <w:rPr>
          <w:rFonts w:ascii="Times New Roman" w:hAnsi="Times New Roman" w:cs="Times New Roman"/>
          <w:sz w:val="25"/>
        </w:rPr>
        <w:t>Unanchored</w:t>
      </w:r>
    </w:p>
    <w:p w14:paraId="7A2E3825" w14:textId="77777777" w:rsidR="00D97BB1" w:rsidRDefault="00000000">
      <w:r>
        <w:rPr>
          <w:rFonts w:ascii="Times New Roman" w:hAnsi="Times New Roman" w:cs="Times New Roman"/>
          <w:sz w:val="25"/>
        </w:rPr>
        <w:t>3.00% tied to nominal GDP</w:t>
      </w:r>
    </w:p>
    <w:p w14:paraId="5A2CCF0A" w14:textId="77777777" w:rsidR="00D97BB1" w:rsidRDefault="00000000">
      <w:r>
        <w:rPr>
          <w:rFonts w:ascii="Times New Roman" w:hAnsi="Times New Roman" w:cs="Times New Roman"/>
          <w:sz w:val="25"/>
        </w:rPr>
        <w:t>Course anchor rule: company cannot outgrow GDP in perpetuity.</w:t>
      </w:r>
    </w:p>
    <w:p w14:paraId="040F862F" w14:textId="77777777" w:rsidR="00D97BB1" w:rsidRDefault="00000000">
      <w:r>
        <w:rPr>
          <w:rFonts w:ascii="Times New Roman" w:hAnsi="Times New Roman" w:cs="Times New Roman"/>
          <w:b/>
          <w:sz w:val="25"/>
        </w:rPr>
        <w:t>Relative Comps</w:t>
      </w:r>
    </w:p>
    <w:p w14:paraId="629B5A7E" w14:textId="77777777" w:rsidR="00D97BB1" w:rsidRDefault="00000000">
      <w:r>
        <w:rPr>
          <w:rFonts w:ascii="Times New Roman" w:hAnsi="Times New Roman" w:cs="Times New Roman"/>
          <w:sz w:val="25"/>
        </w:rPr>
        <w:t>Omitted</w:t>
      </w:r>
    </w:p>
    <w:p w14:paraId="7CEB6E0F" w14:textId="77777777" w:rsidR="00D97BB1" w:rsidRDefault="00000000">
      <w:r>
        <w:rPr>
          <w:rFonts w:ascii="Times New Roman" w:hAnsi="Times New Roman" w:cs="Times New Roman"/>
          <w:sz w:val="25"/>
        </w:rPr>
        <w:t>Median P/E 39.91x ($544.48/</w:t>
      </w:r>
      <w:proofErr w:type="spellStart"/>
      <w:r>
        <w:rPr>
          <w:rFonts w:ascii="Times New Roman" w:hAnsi="Times New Roman" w:cs="Times New Roman"/>
          <w:sz w:val="25"/>
        </w:rPr>
        <w:t>sh</w:t>
      </w:r>
      <w:proofErr w:type="spellEnd"/>
      <w:r>
        <w:rPr>
          <w:rFonts w:ascii="Times New Roman" w:hAnsi="Times New Roman" w:cs="Times New Roman"/>
          <w:sz w:val="25"/>
        </w:rPr>
        <w:t>)</w:t>
      </w:r>
    </w:p>
    <w:p w14:paraId="6EEA30EE" w14:textId="77777777" w:rsidR="00D97BB1" w:rsidRDefault="00000000">
      <w:r>
        <w:rPr>
          <w:rFonts w:ascii="Times New Roman" w:hAnsi="Times New Roman" w:cs="Times New Roman"/>
          <w:sz w:val="25"/>
        </w:rPr>
        <w:t>Screened hyperscale peers (Alphabet, Oracle, Amazon).</w:t>
      </w:r>
    </w:p>
    <w:p w14:paraId="2964017D" w14:textId="77777777" w:rsidR="00D97BB1" w:rsidRDefault="00000000">
      <w:r>
        <w:rPr>
          <w:rFonts w:ascii="Times New Roman" w:hAnsi="Times New Roman" w:cs="Times New Roman"/>
          <w:b/>
          <w:sz w:val="25"/>
        </w:rPr>
        <w:t>Reverse DCF</w:t>
      </w:r>
    </w:p>
    <w:p w14:paraId="7C99E8F4" w14:textId="77777777" w:rsidR="00D97BB1" w:rsidRDefault="00000000">
      <w:r>
        <w:rPr>
          <w:rFonts w:ascii="Times New Roman" w:hAnsi="Times New Roman" w:cs="Times New Roman"/>
          <w:sz w:val="25"/>
        </w:rPr>
        <w:t>Omitted</w:t>
      </w:r>
    </w:p>
    <w:p w14:paraId="378AE2F6" w14:textId="77777777" w:rsidR="00D97BB1" w:rsidRDefault="00000000">
      <w:r>
        <w:rPr>
          <w:rFonts w:ascii="Times New Roman" w:hAnsi="Times New Roman" w:cs="Times New Roman"/>
          <w:sz w:val="25"/>
        </w:rPr>
        <w:t>21.6% organic CAGR solved (+860 bps)</w:t>
      </w:r>
    </w:p>
    <w:p w14:paraId="6631B6AE" w14:textId="77777777" w:rsidR="00D97BB1" w:rsidRDefault="00000000">
      <w:r>
        <w:rPr>
          <w:rFonts w:ascii="Times New Roman" w:hAnsi="Times New Roman" w:cs="Times New Roman"/>
          <w:sz w:val="25"/>
        </w:rPr>
        <w:t>Bisection search proved market price demands unrealistic growth.</w:t>
      </w:r>
    </w:p>
    <w:p w14:paraId="1C3A1DB6" w14:textId="77777777" w:rsidR="00D97BB1" w:rsidRDefault="00000000">
      <w:pPr>
        <w:spacing w:after="100"/>
      </w:pPr>
      <w:r>
        <w:rPr>
          <w:rFonts w:ascii="Times New Roman" w:hAnsi="Times New Roman" w:cs="Times New Roman"/>
          <w:b/>
          <w:sz w:val="32"/>
        </w:rPr>
        <w:t>SECTION 4. RECONCILING WHY VALUATION METHODS DISAGREE</w:t>
      </w:r>
    </w:p>
    <w:p w14:paraId="7C928330" w14:textId="77777777" w:rsidR="00D97BB1" w:rsidRDefault="00000000">
      <w:pPr>
        <w:spacing w:after="100"/>
        <w:jc w:val="both"/>
      </w:pPr>
      <w:r>
        <w:rPr>
          <w:rFonts w:ascii="Times New Roman" w:hAnsi="Times New Roman" w:cs="Times New Roman"/>
          <w:sz w:val="29"/>
        </w:rPr>
        <w:t xml:space="preserve">In Edition A, I had not performed any peer multiples analysis. In Week 4, I formulated a strict peer selection policy requiring enterprise commercial cloud infrastructure (IaaS/PaaS) and recurring SaaS revenues. When I ran peer comps across Alphabet, Oracle, and Amazon, the peer median P/E was 39.91x, </w:t>
      </w:r>
      <w:r>
        <w:rPr>
          <w:rFonts w:ascii="Times New Roman" w:hAnsi="Times New Roman" w:cs="Times New Roman"/>
          <w:sz w:val="29"/>
        </w:rPr>
        <w:lastRenderedPageBreak/>
        <w:t>implying a Microsoft share price of $544.48. A naive analyst might average the DCF ($316.63) and the comps ($544.48) to produce a blended target around $430. But course instruction taught me that averaging conflicting methods is an analytical failure. The disagreement is the entire message:</w:t>
      </w:r>
    </w:p>
    <w:p w14:paraId="1BBFD1DC" w14:textId="77777777" w:rsidR="00D97BB1" w:rsidRDefault="00000000">
      <w:pPr>
        <w:spacing w:after="100"/>
        <w:jc w:val="both"/>
      </w:pPr>
      <w:r>
        <w:rPr>
          <w:rFonts w:ascii="Times New Roman" w:hAnsi="Times New Roman" w:cs="Times New Roman"/>
          <w:sz w:val="29"/>
        </w:rPr>
        <w:t xml:space="preserve">P/E multiples look only at accounting net income. They do not penalize Microsoft for spending $65 billion in cash on datacenters and GPU servers because accounting standards capitalize physical investments and stretch depreciation over many years. In contrast, my FCFF DCF rigorously subtracts all cash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from free cash flow, exposing the cash drag that accounting net income conceals. The market today trades at $500.59 because it is valuing Microsoft on accounting earnings multiples. My Reverse DCF demonstrates that to justify $500.59 under an intrinsic cash engine, Microsoft would have to generate 21.6% compound organic revenue growth through 2030-a growth acceleration of +8.60 percentage points over my 13% base that management's own guidance does not support.</w:t>
      </w:r>
    </w:p>
    <w:p w14:paraId="28E29D58" w14:textId="77777777" w:rsidR="00D97BB1" w:rsidRDefault="00000000">
      <w:pPr>
        <w:spacing w:after="100"/>
      </w:pPr>
      <w:r>
        <w:rPr>
          <w:rFonts w:ascii="Times New Roman" w:hAnsi="Times New Roman" w:cs="Times New Roman"/>
          <w:b/>
          <w:sz w:val="32"/>
        </w:rPr>
        <w:t>SECTION 5. HOW MY LAB PARTNER CHALLENGED MY THINKING</w:t>
      </w:r>
    </w:p>
    <w:p w14:paraId="18BB0A32" w14:textId="77777777" w:rsidR="00D97BB1" w:rsidRDefault="00000000">
      <w:pPr>
        <w:spacing w:after="100"/>
        <w:jc w:val="both"/>
      </w:pPr>
      <w:r>
        <w:rPr>
          <w:rFonts w:ascii="Times New Roman" w:hAnsi="Times New Roman" w:cs="Times New Roman"/>
          <w:sz w:val="29"/>
        </w:rPr>
        <w:t xml:space="preserve">During my Week 5 and 6 labs, I paired with my learning partner, who was analyzing McDonald's (MCD). Reviewing McDonald's balance sheet-with its negative stockholders' equity and heavy franchise royalty engine-forced me to think deeply about capital structure. My partner looked at my Microsoft model and asked a sharp question: If Microsoft's AI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has a three-to-</w:t>
      </w:r>
      <w:proofErr w:type="gramStart"/>
      <w:r>
        <w:rPr>
          <w:rFonts w:ascii="Times New Roman" w:hAnsi="Times New Roman" w:cs="Times New Roman"/>
          <w:sz w:val="29"/>
        </w:rPr>
        <w:t>five year</w:t>
      </w:r>
      <w:proofErr w:type="gramEnd"/>
      <w:r>
        <w:rPr>
          <w:rFonts w:ascii="Times New Roman" w:hAnsi="Times New Roman" w:cs="Times New Roman"/>
          <w:sz w:val="29"/>
        </w:rPr>
        <w:t xml:space="preserve"> hardware replacement cycle, won't depreciation catch up to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by 2029 and permanently crush net margins?</w:t>
      </w:r>
    </w:p>
    <w:p w14:paraId="5A82CFBE" w14:textId="77777777" w:rsidR="00D97BB1" w:rsidRDefault="00000000">
      <w:pPr>
        <w:spacing w:after="100"/>
        <w:jc w:val="both"/>
      </w:pPr>
      <w:r>
        <w:rPr>
          <w:rFonts w:ascii="Times New Roman" w:hAnsi="Times New Roman" w:cs="Times New Roman"/>
          <w:sz w:val="29"/>
        </w:rPr>
        <w:t xml:space="preserve">That challenge prompted me to build the One-at-a-Time sensitivity analysis in Lab 11. I tested Organic Revenue Growth (10% to 16%) against Gross Margin (66.5% to 70.5%). The test showed that Revenue Growth dominates Gross Margin by 4.68 times ($110.15 per share span versus $23.53 per share). Growth compounds exponentially and pulls in unearned revenue float, which partially offsets the depreciation drag. My partner's </w:t>
      </w:r>
      <w:proofErr w:type="gramStart"/>
      <w:r>
        <w:rPr>
          <w:rFonts w:ascii="Times New Roman" w:hAnsi="Times New Roman" w:cs="Times New Roman"/>
          <w:sz w:val="29"/>
        </w:rPr>
        <w:t>fresh-eyes</w:t>
      </w:r>
      <w:proofErr w:type="gramEnd"/>
      <w:r>
        <w:rPr>
          <w:rFonts w:ascii="Times New Roman" w:hAnsi="Times New Roman" w:cs="Times New Roman"/>
          <w:sz w:val="29"/>
        </w:rPr>
        <w:t xml:space="preserve"> critique directly strengthened the causal explanation in my final memo.</w:t>
      </w:r>
    </w:p>
    <w:p w14:paraId="676892F9" w14:textId="77777777" w:rsidR="00D97BB1" w:rsidRDefault="00000000">
      <w:pPr>
        <w:spacing w:after="100"/>
      </w:pPr>
      <w:r>
        <w:rPr>
          <w:rFonts w:ascii="Times New Roman" w:hAnsi="Times New Roman" w:cs="Times New Roman"/>
          <w:b/>
          <w:sz w:val="32"/>
        </w:rPr>
        <w:lastRenderedPageBreak/>
        <w:t>SECTION 6. AUDITING AI AND TAKING PERSONAL OWNERSHIP</w:t>
      </w:r>
    </w:p>
    <w:p w14:paraId="31DB4A53" w14:textId="77777777" w:rsidR="00D97BB1" w:rsidRDefault="00000000">
      <w:pPr>
        <w:spacing w:after="100"/>
        <w:jc w:val="both"/>
      </w:pPr>
      <w:r>
        <w:rPr>
          <w:rFonts w:ascii="Times New Roman" w:hAnsi="Times New Roman" w:cs="Times New Roman"/>
          <w:sz w:val="29"/>
        </w:rPr>
        <w:t>Throughout this project, AI was a helpful coding assistant, but I never allowed it to own the finance judgment. Four major interventions stand out:</w:t>
      </w:r>
    </w:p>
    <w:p w14:paraId="44BF3342" w14:textId="77777777" w:rsidR="00D97BB1" w:rsidRDefault="00000000">
      <w:pPr>
        <w:spacing w:after="100"/>
        <w:jc w:val="both"/>
      </w:pPr>
      <w:r>
        <w:rPr>
          <w:rFonts w:ascii="Times New Roman" w:hAnsi="Times New Roman" w:cs="Times New Roman"/>
          <w:sz w:val="29"/>
        </w:rPr>
        <w:t>First, when Claude 3.5 Sonnet scaffolded the balance sheet, it attempted to force-fit auto dealership floor-plan debt into Microsoft's liabilities. I rejected that suggestion immediately and replaced it with audited Unearned Revenue float. Second, when I asked GPT-4o to recommend comparable company peers, it suggested Nvidia (NVDA) and Apple (AAPL). I audited both against my pre-declared Peer Policy and rejected them. Nvidia is a pure semiconductor hardware vendor with 75% gross margins driven by chip shortages, while Apple is a consumer hardware OEM without an enterprise cloud platform. Accepting them would have corrupted the peer multiple. I qualified Alphabet (GOOGL), Oracle (ORCL), and Amazon (AMZN) instead.</w:t>
      </w:r>
    </w:p>
    <w:p w14:paraId="761E5466" w14:textId="77777777" w:rsidR="00D97BB1" w:rsidRDefault="00000000">
      <w:pPr>
        <w:spacing w:after="100"/>
        <w:jc w:val="both"/>
      </w:pPr>
      <w:r>
        <w:rPr>
          <w:rFonts w:ascii="Times New Roman" w:hAnsi="Times New Roman" w:cs="Times New Roman"/>
          <w:sz w:val="29"/>
        </w:rPr>
        <w:t xml:space="preserve">Third, when Gemini 1.5 Pro supplied a bisection search script for Reverse DCF, it used a default bracket of [-5.0%, +10.0%]. When executed against Microsoft's $500.59 market price, the solver crashed because the implied growth was far higher than +10%. I audited the objective function, expanded the bracket to [-10.0%, +35.0%], and solved the true 21.6% organic CAGR hurdle. Fourth, when Codex generated interactive UI sliders for </w:t>
      </w:r>
      <w:proofErr w:type="spellStart"/>
      <w:r>
        <w:rPr>
          <w:rFonts w:ascii="Times New Roman" w:hAnsi="Times New Roman" w:cs="Times New Roman"/>
          <w:sz w:val="29"/>
        </w:rPr>
        <w:t>Streamlit</w:t>
      </w:r>
      <w:proofErr w:type="spellEnd"/>
      <w:r>
        <w:rPr>
          <w:rFonts w:ascii="Times New Roman" w:hAnsi="Times New Roman" w:cs="Times New Roman"/>
          <w:sz w:val="29"/>
        </w:rPr>
        <w:t>, it created unbounded sliders (-50% to +100% growth, gross margins up to 95%). I audited Microsoft's 10-year historical constant-currency performance and bounded all sliders to plausible economic realities (growth &lt;= 18%, margin &lt;= 72%), creating a robust workbench meeting Requirement 10.</w:t>
      </w:r>
    </w:p>
    <w:p w14:paraId="0498BCB4" w14:textId="77777777" w:rsidR="00D97BB1" w:rsidRDefault="00000000">
      <w:pPr>
        <w:spacing w:after="100"/>
      </w:pPr>
      <w:r>
        <w:rPr>
          <w:rFonts w:ascii="Times New Roman" w:hAnsi="Times New Roman" w:cs="Times New Roman"/>
          <w:b/>
          <w:sz w:val="32"/>
        </w:rPr>
        <w:t>SECTION 7. MACROECONOMIC DISCIPLINE, SOLVENCY PROOF &amp; REVERSAL TRIGGERS</w:t>
      </w:r>
    </w:p>
    <w:p w14:paraId="728BEB3A" w14:textId="77777777" w:rsidR="00D97BB1" w:rsidRDefault="00000000">
      <w:pPr>
        <w:spacing w:after="100"/>
        <w:jc w:val="both"/>
      </w:pPr>
      <w:r>
        <w:rPr>
          <w:rFonts w:ascii="Times New Roman" w:hAnsi="Times New Roman" w:cs="Times New Roman"/>
          <w:sz w:val="29"/>
        </w:rPr>
        <w:t xml:space="preserve">A critical flaw in early student DCF drafts is setting perpetual growth rates above GDP growth. In corporate finance, a company cannot outgrow the broader economy indefinitely without eventually becoming the entire economy. I locked Microsoft's terminal growth anchor strictly at 3.00%, matching long-run nominal U.S. GDP growth expectations. At WACC = 9.50% and g = 3.00%, </w:t>
      </w:r>
      <w:r>
        <w:rPr>
          <w:rFonts w:ascii="Times New Roman" w:hAnsi="Times New Roman" w:cs="Times New Roman"/>
          <w:sz w:val="29"/>
        </w:rPr>
        <w:lastRenderedPageBreak/>
        <w:t xml:space="preserve">Microsoft's terminal value represents 79.1% of total enterprise value ($1.84 trillion out of $2.33 trillion EV). This mathematical reality demonstrates that even for a tech behemoth, </w:t>
      </w:r>
      <w:proofErr w:type="gramStart"/>
      <w:r>
        <w:rPr>
          <w:rFonts w:ascii="Times New Roman" w:hAnsi="Times New Roman" w:cs="Times New Roman"/>
          <w:sz w:val="29"/>
        </w:rPr>
        <w:t>the vast majority of</w:t>
      </w:r>
      <w:proofErr w:type="gramEnd"/>
      <w:r>
        <w:rPr>
          <w:rFonts w:ascii="Times New Roman" w:hAnsi="Times New Roman" w:cs="Times New Roman"/>
          <w:sz w:val="29"/>
        </w:rPr>
        <w:t xml:space="preserve"> intrinsic value resides in the distant terminal horizon, reinforcing why disciplined cost of capital and terminal growth constraints are non-negotiable.</w:t>
      </w:r>
    </w:p>
    <w:p w14:paraId="7CCC05DB" w14:textId="77777777" w:rsidR="00D97BB1" w:rsidRDefault="00000000">
      <w:pPr>
        <w:spacing w:after="100"/>
        <w:jc w:val="both"/>
      </w:pPr>
      <w:r>
        <w:rPr>
          <w:rFonts w:ascii="Times New Roman" w:hAnsi="Times New Roman" w:cs="Times New Roman"/>
          <w:sz w:val="29"/>
        </w:rPr>
        <w:t xml:space="preserve">To prove that the pro-forma model is mathematically resilient, I subjected Microsoft to an extreme downside stress test: a severe recession where revenue contracts by -5.0% in FY26, gross margins collapse to 60.0%, and annual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surges to $85.0 billion due to contractual datacenter purchase obligations. Under this severe shock, operating cash flow contracts sharply, Microsoft draws $4.5 billion on its revolving credit facility, and intrinsic equity value drops to $142.10 per share. Crucially, the pro-forma balance sheet continues to balance with an exact $0.0000M gap, confirming that the accounting engine is fully solvent and leak-proof.</w:t>
      </w:r>
    </w:p>
    <w:p w14:paraId="3A099114" w14:textId="77777777" w:rsidR="00D97BB1" w:rsidRDefault="00000000">
      <w:pPr>
        <w:spacing w:after="100"/>
        <w:jc w:val="both"/>
      </w:pPr>
      <w:r>
        <w:rPr>
          <w:rFonts w:ascii="Times New Roman" w:hAnsi="Times New Roman" w:cs="Times New Roman"/>
          <w:sz w:val="29"/>
        </w:rPr>
        <w:t xml:space="preserve">My final recommendation to the investment committee remains Watch / Defer. But unlike Edition A's open-ended caution, Edition B provides explicit quantitative triggers: Initiate Buy if: Microsoft's share price pulls back below $310.00 (entering my intrinsic DCF base range), OR if subsequent quarterly Form 10-Q filings prove that commercial cloud gross margins expand above 72.0% while annual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growth slows below 15% (confirming that Copilot software adoption is outrunning infrastructure costs). Reject / Remove from Watchlist if: Annual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exceeds $75.0 billion while Azure constant-currency growth drops below 15% and gross margins slip below 67.0% (confirming structural return dilution). The committee should commit zero capital today and direct me to audit Microsoft's Q1 FY2027 Form 10-Q when filed in October 2026.</w:t>
      </w:r>
    </w:p>
    <w:p w14:paraId="1C0F831C" w14:textId="77777777" w:rsidR="00D97BB1" w:rsidRDefault="00000000">
      <w:r>
        <w:rPr>
          <w:rFonts w:ascii="Times New Roman" w:hAnsi="Times New Roman" w:cs="Times New Roman"/>
          <w:b/>
          <w:sz w:val="25"/>
        </w:rPr>
        <w:t>Student Attestation:</w:t>
      </w:r>
      <w:r>
        <w:rPr>
          <w:rFonts w:ascii="Times New Roman" w:hAnsi="Times New Roman" w:cs="Times New Roman"/>
          <w:sz w:val="25"/>
        </w:rPr>
        <w:t xml:space="preserve"> I certify that this research evolution reflects my genuine learning journey from Edition A to Edition B. Devank Mahajan | FIN 43900 Corporate Finance Application | Sept 23, 2026.</w:t>
      </w:r>
    </w:p>
    <w:p w14:paraId="1A2590A8" w14:textId="77777777" w:rsidR="00D97BB1" w:rsidRDefault="00000000">
      <w:r>
        <w:rPr>
          <w:rFonts w:ascii="Times New Roman" w:hAnsi="Times New Roman" w:cs="Times New Roman"/>
          <w:b/>
          <w:sz w:val="25"/>
        </w:rPr>
        <w:t>Model Provenance:</w:t>
      </w:r>
      <w:r>
        <w:rPr>
          <w:rFonts w:ascii="Times New Roman" w:hAnsi="Times New Roman" w:cs="Times New Roman"/>
          <w:sz w:val="25"/>
        </w:rPr>
        <w:t xml:space="preserve"> 12/12 Automated Tests Passing in 0.004s | Maximum Balance Sheet Discrepancy: $0.0000M across all 5 projected fiscal years.</w:t>
      </w:r>
    </w:p>
    <w:sectPr w:rsidR="00D97BB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7BB1"/>
    <w:rsid w:val="0049000A"/>
    <w:rsid w:val="00CB721C"/>
    <w:rsid w:val="00D9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A57DC6"/>
  <w15:docId w15:val="{656AE9BB-FFF8-E04B-B292-5B270D0C1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AA4635B4-00D3-CA4C-9DE3-BD2795280436}">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2282</Words>
  <Characters>13013</Characters>
  <Application>Microsoft Office Word</Application>
  <DocSecurity>0</DocSecurity>
  <Lines>108</Lines>
  <Paragraphs>30</Paragraphs>
  <ScaleCrop>false</ScaleCrop>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Devank Renu Mahajan</cp:lastModifiedBy>
  <cp:revision>2</cp:revision>
  <dcterms:created xsi:type="dcterms:W3CDTF">2026-10-20T02:14:00Z</dcterms:created>
  <dcterms:modified xsi:type="dcterms:W3CDTF">2026-10-20T02:15:00Z</dcterms:modified>
</cp:coreProperties>
</file>